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B538" w14:textId="3CD75B51" w:rsidR="00E76370" w:rsidRPr="00155A64" w:rsidRDefault="00A11560" w:rsidP="00155A64">
      <w:pPr>
        <w:spacing w:after="0"/>
        <w:jc w:val="center"/>
        <w:rPr>
          <w:rFonts w:ascii="Times New Roman" w:hAnsi="Times New Roman" w:cs="Times New Roman"/>
          <w:b/>
          <w:bCs/>
          <w:color w:val="000000"/>
          <w:szCs w:val="22"/>
          <w:shd w:val="clear" w:color="auto" w:fill="FFFFFF"/>
        </w:rPr>
      </w:pPr>
      <w:r w:rsidRPr="00155A64">
        <w:rPr>
          <w:rFonts w:ascii="Times New Roman" w:hAnsi="Times New Roman" w:cs="Times New Roman"/>
          <w:b/>
          <w:bCs/>
          <w:color w:val="000000"/>
          <w:szCs w:val="22"/>
          <w:shd w:val="clear" w:color="auto" w:fill="FFFFFF"/>
        </w:rPr>
        <w:t>Approaches to Tax Deductions via Preparation</w:t>
      </w:r>
    </w:p>
    <w:p w14:paraId="2E25F79E" w14:textId="77777777" w:rsidR="00155A64" w:rsidRDefault="00155A64" w:rsidP="00155A64">
      <w:pPr>
        <w:spacing w:after="0"/>
        <w:jc w:val="center"/>
        <w:rPr>
          <w:rFonts w:ascii="Times New Roman" w:hAnsi="Times New Roman" w:cs="Times New Roman"/>
          <w:b/>
          <w:bCs/>
          <w:szCs w:val="22"/>
        </w:rPr>
      </w:pPr>
    </w:p>
    <w:p w14:paraId="501B4897" w14:textId="700C97BC" w:rsidR="00155A64" w:rsidRPr="00155A64" w:rsidRDefault="00155A64" w:rsidP="00155A64">
      <w:pPr>
        <w:spacing w:after="0"/>
        <w:jc w:val="center"/>
        <w:rPr>
          <w:rFonts w:ascii="Times New Roman" w:hAnsi="Times New Roman" w:cs="Times New Roman"/>
          <w:b/>
          <w:bCs/>
          <w:szCs w:val="22"/>
        </w:rPr>
      </w:pPr>
      <w:r w:rsidRPr="00155A64">
        <w:rPr>
          <w:rFonts w:ascii="Times New Roman" w:hAnsi="Times New Roman" w:cs="Times New Roman"/>
          <w:b/>
          <w:bCs/>
          <w:szCs w:val="22"/>
        </w:rPr>
        <w:t>Dr. Rakesh Kumar</w:t>
      </w:r>
    </w:p>
    <w:p w14:paraId="41BCB4E7" w14:textId="6441AAEF" w:rsidR="00155A64" w:rsidRPr="00155A64" w:rsidRDefault="00C02BED" w:rsidP="00155A64">
      <w:pPr>
        <w:spacing w:after="0"/>
        <w:jc w:val="center"/>
        <w:rPr>
          <w:rFonts w:ascii="Times New Roman" w:hAnsi="Times New Roman" w:cs="Times New Roman"/>
          <w:szCs w:val="22"/>
        </w:rPr>
      </w:pPr>
      <w:r>
        <w:rPr>
          <w:rFonts w:ascii="Times New Roman" w:hAnsi="Times New Roman" w:cs="Times New Roman"/>
          <w:szCs w:val="22"/>
        </w:rPr>
        <w:t>R</w:t>
      </w:r>
      <w:r w:rsidR="00262549">
        <w:rPr>
          <w:rFonts w:ascii="Times New Roman" w:hAnsi="Times New Roman" w:cs="Times New Roman"/>
          <w:szCs w:val="22"/>
        </w:rPr>
        <w:t>eader</w:t>
      </w:r>
    </w:p>
    <w:p w14:paraId="7F74D8E8" w14:textId="77777777" w:rsidR="00155A64" w:rsidRPr="00155A64" w:rsidRDefault="00155A64" w:rsidP="00155A64">
      <w:pPr>
        <w:spacing w:after="0"/>
        <w:jc w:val="center"/>
        <w:rPr>
          <w:rFonts w:ascii="Times New Roman" w:hAnsi="Times New Roman" w:cs="Times New Roman"/>
          <w:szCs w:val="22"/>
        </w:rPr>
      </w:pPr>
      <w:r w:rsidRPr="00155A64">
        <w:rPr>
          <w:rFonts w:ascii="Times New Roman" w:hAnsi="Times New Roman" w:cs="Times New Roman"/>
          <w:szCs w:val="22"/>
        </w:rPr>
        <w:t>Department of commerce, SM College Chandausi</w:t>
      </w:r>
    </w:p>
    <w:p w14:paraId="2CD70659" w14:textId="77777777" w:rsidR="00155A64" w:rsidRPr="00155A64" w:rsidRDefault="00155A64" w:rsidP="00155A64">
      <w:pPr>
        <w:spacing w:after="0"/>
        <w:jc w:val="center"/>
        <w:rPr>
          <w:rFonts w:ascii="Times New Roman" w:hAnsi="Times New Roman" w:cs="Times New Roman"/>
          <w:b/>
          <w:bCs/>
          <w:color w:val="000000"/>
          <w:szCs w:val="22"/>
          <w:shd w:val="clear" w:color="auto" w:fill="FFFFFF"/>
        </w:rPr>
      </w:pPr>
    </w:p>
    <w:p w14:paraId="51A3E362" w14:textId="77777777" w:rsidR="002610AA" w:rsidRPr="00155A64" w:rsidRDefault="00311A72" w:rsidP="00155A64">
      <w:pPr>
        <w:spacing w:after="0"/>
        <w:jc w:val="both"/>
        <w:rPr>
          <w:rFonts w:ascii="Times New Roman" w:hAnsi="Times New Roman" w:cs="Times New Roman"/>
          <w:b/>
          <w:bCs/>
          <w:color w:val="000000"/>
          <w:szCs w:val="22"/>
          <w:shd w:val="clear" w:color="auto" w:fill="FFFFFF"/>
        </w:rPr>
      </w:pPr>
      <w:r w:rsidRPr="00155A64">
        <w:rPr>
          <w:rFonts w:ascii="Times New Roman" w:hAnsi="Times New Roman" w:cs="Times New Roman"/>
          <w:b/>
          <w:bCs/>
          <w:color w:val="000000"/>
          <w:szCs w:val="22"/>
          <w:shd w:val="clear" w:color="auto" w:fill="FFFFFF"/>
        </w:rPr>
        <w:t>Abstract</w:t>
      </w:r>
    </w:p>
    <w:p w14:paraId="2BFB50EA" w14:textId="58DA9F5D" w:rsidR="00A11560" w:rsidRPr="00155A64" w:rsidRDefault="00A11560" w:rsidP="00155A64">
      <w:pPr>
        <w:shd w:val="clear" w:color="auto" w:fill="FFFFFF"/>
        <w:spacing w:after="0"/>
        <w:jc w:val="both"/>
        <w:rPr>
          <w:rFonts w:ascii="Times New Roman" w:hAnsi="Times New Roman" w:cs="Times New Roman"/>
          <w:color w:val="0D0D0D"/>
          <w:szCs w:val="22"/>
          <w:shd w:val="clear" w:color="auto" w:fill="FFFFFF"/>
        </w:rPr>
      </w:pPr>
      <w:r w:rsidRPr="00155A64">
        <w:rPr>
          <w:rFonts w:ascii="Times New Roman" w:hAnsi="Times New Roman" w:cs="Times New Roman"/>
          <w:color w:val="0D0D0D"/>
          <w:szCs w:val="22"/>
          <w:shd w:val="clear" w:color="auto" w:fill="FFFFFF"/>
        </w:rPr>
        <w:t>To lower taxable income and minimise tax liabilities, tax deductions are vital for both individuals and enterprises. In this article, we'll take a look at how to maximise your available deductions while still staying in compliance with tax rules and regulations by evaluating several methods to tax deductions via preparation. We go over the standard tax deductions, including those for business, charity, retirement, and school costs, as well as the requirements, possible traps, and qualifying restrictions for each. Our discussion also covers the value of professional tax consultants and tax preparation software in simplifying the deduction process, the significance of meticulous documentation in determining and supporting deductible costs, and more. Additionally, we emphasise new tax rules and regulations that could affect planning tactics and deduction eligibility. It is possible for individuals and organisations to optimise their tax positions, minimise their tax payments, and guarantee compliance with relevant tax rules by using proactive methods to tax deduction planning. To help taxpayers make sense of the maze of tax deductions and get the most out of their money, this article will offer some helpful pointers and insights into efficient deduction tactics.</w:t>
      </w:r>
    </w:p>
    <w:p w14:paraId="4DE2B44B" w14:textId="5AEF5E23" w:rsidR="002610AA" w:rsidRPr="00155A64" w:rsidRDefault="002610AA" w:rsidP="00155A64">
      <w:pPr>
        <w:shd w:val="clear" w:color="auto" w:fill="FFFFFF"/>
        <w:spacing w:after="0"/>
        <w:jc w:val="both"/>
        <w:rPr>
          <w:rFonts w:ascii="Times New Roman" w:hAnsi="Times New Roman" w:cs="Times New Roman"/>
          <w:b/>
          <w:bCs/>
          <w:szCs w:val="22"/>
        </w:rPr>
      </w:pPr>
      <w:r w:rsidRPr="00155A64">
        <w:rPr>
          <w:rFonts w:ascii="Times New Roman" w:hAnsi="Times New Roman" w:cs="Times New Roman"/>
          <w:b/>
          <w:bCs/>
          <w:szCs w:val="22"/>
        </w:rPr>
        <w:t xml:space="preserve">Keywords </w:t>
      </w:r>
      <w:r w:rsidRPr="00155A64">
        <w:rPr>
          <w:rFonts w:ascii="Times New Roman" w:hAnsi="Times New Roman" w:cs="Times New Roman"/>
          <w:szCs w:val="22"/>
        </w:rPr>
        <w:t>Tax</w:t>
      </w:r>
      <w:r w:rsidRPr="00155A64">
        <w:rPr>
          <w:rFonts w:ascii="Times New Roman" w:hAnsi="Times New Roman" w:cs="Times New Roman"/>
          <w:b/>
          <w:bCs/>
          <w:szCs w:val="22"/>
        </w:rPr>
        <w:t xml:space="preserve">,  </w:t>
      </w:r>
      <w:r w:rsidRPr="00155A64">
        <w:rPr>
          <w:rFonts w:ascii="Times New Roman" w:hAnsi="Times New Roman" w:cs="Times New Roman"/>
          <w:szCs w:val="22"/>
        </w:rPr>
        <w:t>Tax  saving  Instruments,  Tax  Planning,  Tax Management, Tax Evasion and Tax Avoidance</w:t>
      </w:r>
    </w:p>
    <w:p w14:paraId="0D2B6F2D" w14:textId="77777777" w:rsidR="002610AA" w:rsidRPr="00155A64" w:rsidRDefault="002610AA"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 xml:space="preserve">TAX PLANNING: </w:t>
      </w:r>
    </w:p>
    <w:p w14:paraId="5654D83B" w14:textId="77777777" w:rsidR="002610AA" w:rsidRPr="00155A64" w:rsidRDefault="002610AA"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 xml:space="preserve"> INTRODUCTION  </w:t>
      </w:r>
    </w:p>
    <w:p w14:paraId="0FF822D5" w14:textId="74920D28" w:rsidR="00561FA5" w:rsidRPr="00155A64" w:rsidRDefault="00A11560" w:rsidP="00155A64">
      <w:pPr>
        <w:spacing w:after="0"/>
        <w:jc w:val="both"/>
        <w:rPr>
          <w:rFonts w:ascii="Times New Roman" w:hAnsi="Times New Roman" w:cs="Times New Roman"/>
          <w:szCs w:val="22"/>
        </w:rPr>
      </w:pPr>
      <w:r w:rsidRPr="00155A64">
        <w:rPr>
          <w:rFonts w:ascii="Times New Roman" w:hAnsi="Times New Roman" w:cs="Times New Roman"/>
          <w:szCs w:val="22"/>
        </w:rPr>
        <w:t>Simply put, tax planning is the process of minimising an individual's tax burden in a way that is both legal and ethical, taking into account all relevant rules and regulations. While an assessed may participate in perfectly lawful activities, tax planning should never include the intent to cheat the revenue since even if individual transactions are acceptable, they might be part of a larger scheme to avoid paying taxes. A "colorable device" is a status verification mechanism that complies with the letter of the law but goes against its spirit. Legality, propriety, and compliance with the law are the guiding principles for all tax planning transactions. The form-and-content test is a prerequisite for any tax evasion approach. At first glance, it could be hard to discern the real motivation behind a transaction. Looking beyond the formalities of the signed papers is necessary to determine the real objectives of the parties or the content of a transaction. Put another way, this is not tax evasion. As far as the law allows, taxpayers should take the long view and do what's best for themselves by minimising their tax burden. Gaining a tax benefit within the legal framework is just half the fight; the other half is meeting tax obligations on time without penalties, which is why tax planning is so important.</w:t>
      </w:r>
    </w:p>
    <w:p w14:paraId="3D5CFF39" w14:textId="77777777" w:rsidR="002610AA" w:rsidRPr="00155A64" w:rsidRDefault="002610AA" w:rsidP="00155A64">
      <w:pPr>
        <w:spacing w:after="0"/>
        <w:jc w:val="both"/>
        <w:rPr>
          <w:rFonts w:ascii="Times New Roman" w:hAnsi="Times New Roman" w:cs="Times New Roman"/>
          <w:szCs w:val="22"/>
        </w:rPr>
      </w:pPr>
      <w:r w:rsidRPr="00155A64">
        <w:rPr>
          <w:rFonts w:ascii="Times New Roman" w:hAnsi="Times New Roman" w:cs="Times New Roman"/>
          <w:b/>
          <w:bCs/>
          <w:szCs w:val="22"/>
        </w:rPr>
        <w:t>Tax Evasion And Tax Avoidance Tax Evasion</w:t>
      </w:r>
      <w:r w:rsidRPr="00155A64">
        <w:rPr>
          <w:rFonts w:ascii="Times New Roman" w:hAnsi="Times New Roman" w:cs="Times New Roman"/>
          <w:szCs w:val="22"/>
        </w:rPr>
        <w:t>:</w:t>
      </w:r>
    </w:p>
    <w:p w14:paraId="33B8103D" w14:textId="6B5EA3ED" w:rsidR="00561FA5" w:rsidRPr="00155A64" w:rsidRDefault="008179DB" w:rsidP="00155A64">
      <w:pPr>
        <w:spacing w:after="0"/>
        <w:jc w:val="both"/>
        <w:rPr>
          <w:rFonts w:ascii="Times New Roman" w:hAnsi="Times New Roman" w:cs="Times New Roman"/>
          <w:szCs w:val="22"/>
        </w:rPr>
      </w:pPr>
      <w:r w:rsidRPr="00155A64">
        <w:rPr>
          <w:rFonts w:ascii="Times New Roman" w:hAnsi="Times New Roman" w:cs="Times New Roman"/>
          <w:szCs w:val="22"/>
        </w:rPr>
        <w:t>When an individual engages in tax avoidance strategies like hiding income or inflating expenses in order to make it appear as though their taxable income is smaller than it actually is, they are engaging in tax fraud. A person found guilty of tax evasion faces the penalties specified by law. Among the many possible methods of tax evasion are the deliberate making of false statements, the submission of false or misleading documents, the concealment of material facts, the failure to keep accurate records of income earned (if required by law), and the failure to disclose relevant information when being assessed. A person who is assessed and who fraudulently claims a statutory benefit by providing incorrect information is committing tax evasion.</w:t>
      </w:r>
    </w:p>
    <w:p w14:paraId="3753C888" w14:textId="5DDE3AFB" w:rsidR="002610AA" w:rsidRPr="00155A64" w:rsidRDefault="002610AA" w:rsidP="00155A64">
      <w:pPr>
        <w:spacing w:after="0"/>
        <w:jc w:val="both"/>
        <w:rPr>
          <w:rFonts w:ascii="Times New Roman" w:hAnsi="Times New Roman" w:cs="Times New Roman"/>
          <w:szCs w:val="22"/>
        </w:rPr>
      </w:pPr>
      <w:r w:rsidRPr="00155A64">
        <w:rPr>
          <w:rFonts w:ascii="Times New Roman" w:hAnsi="Times New Roman" w:cs="Times New Roman"/>
          <w:b/>
          <w:bCs/>
          <w:szCs w:val="22"/>
        </w:rPr>
        <w:lastRenderedPageBreak/>
        <w:t xml:space="preserve"> </w:t>
      </w:r>
      <w:r w:rsidR="00561FA5" w:rsidRPr="00155A64">
        <w:rPr>
          <w:rFonts w:ascii="Times New Roman" w:hAnsi="Times New Roman" w:cs="Times New Roman"/>
          <w:b/>
          <w:bCs/>
          <w:szCs w:val="22"/>
        </w:rPr>
        <w:t>Tax avoidance</w:t>
      </w:r>
      <w:r w:rsidRPr="00155A64">
        <w:rPr>
          <w:rFonts w:ascii="Times New Roman" w:hAnsi="Times New Roman" w:cs="Times New Roman"/>
          <w:szCs w:val="22"/>
        </w:rPr>
        <w:t xml:space="preserve">:  </w:t>
      </w:r>
      <w:r w:rsidR="008179DB" w:rsidRPr="00155A64">
        <w:rPr>
          <w:rFonts w:ascii="Times New Roman" w:hAnsi="Times New Roman" w:cs="Times New Roman"/>
          <w:szCs w:val="22"/>
        </w:rPr>
        <w:t>When it comes to taxes, the line between preparing and evading is narrow and often difficult to see. An appeased purpose may also contribute to tax evasion. Tax avoidance might be said to occur in any situation when a plan is enacted that, while technically compliant, yet manages to undermine the statute's original aim. This is often achieved by (a) modifying the situation such that no violations of taxation regulations occur, and (b) making full use of any applicable loopholes in the tax code.</w:t>
      </w:r>
    </w:p>
    <w:p w14:paraId="2440D11D" w14:textId="77777777" w:rsidR="002610AA" w:rsidRPr="00155A64" w:rsidRDefault="002610AA" w:rsidP="00155A64">
      <w:pPr>
        <w:pStyle w:val="ListParagraph"/>
        <w:tabs>
          <w:tab w:val="left" w:pos="142"/>
        </w:tabs>
        <w:spacing w:after="0"/>
        <w:ind w:left="142"/>
        <w:jc w:val="both"/>
        <w:rPr>
          <w:rFonts w:ascii="Times New Roman" w:hAnsi="Times New Roman" w:cs="Times New Roman"/>
          <w:szCs w:val="22"/>
        </w:rPr>
      </w:pPr>
    </w:p>
    <w:p w14:paraId="65A318DA" w14:textId="77777777" w:rsidR="002610AA" w:rsidRPr="00155A64" w:rsidRDefault="002610AA"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 xml:space="preserve">Tax Planning Excludes  </w:t>
      </w:r>
    </w:p>
    <w:p w14:paraId="74EF109B" w14:textId="77777777" w:rsidR="008179DB" w:rsidRPr="00155A64" w:rsidRDefault="008179DB" w:rsidP="00155A64">
      <w:pPr>
        <w:pStyle w:val="ListParagraph"/>
        <w:numPr>
          <w:ilvl w:val="0"/>
          <w:numId w:val="2"/>
        </w:numPr>
        <w:spacing w:after="0"/>
        <w:ind w:left="284" w:firstLine="0"/>
        <w:jc w:val="both"/>
        <w:rPr>
          <w:rFonts w:ascii="Times New Roman" w:hAnsi="Times New Roman" w:cs="Times New Roman"/>
          <w:szCs w:val="22"/>
        </w:rPr>
      </w:pPr>
      <w:r w:rsidRPr="00155A64">
        <w:rPr>
          <w:rFonts w:ascii="Times New Roman" w:hAnsi="Times New Roman" w:cs="Times New Roman"/>
          <w:szCs w:val="22"/>
        </w:rPr>
        <w:t>Planning to minimise your tax liability is not the same thing as avoiding paying your taxes. It requires careful preparation of your investments and other sources of income. Contrary to popular belief, this is not tax evasion, which is against the law in India.</w:t>
      </w:r>
    </w:p>
    <w:p w14:paraId="1269C361" w14:textId="62577586" w:rsidR="008179DB" w:rsidRPr="00155A64" w:rsidRDefault="008179DB" w:rsidP="00155A64">
      <w:pPr>
        <w:pStyle w:val="ListParagraph"/>
        <w:numPr>
          <w:ilvl w:val="0"/>
          <w:numId w:val="2"/>
        </w:numPr>
        <w:spacing w:after="0"/>
        <w:ind w:left="284" w:firstLine="0"/>
        <w:jc w:val="both"/>
        <w:rPr>
          <w:rFonts w:ascii="Times New Roman" w:hAnsi="Times New Roman" w:cs="Times New Roman"/>
          <w:szCs w:val="22"/>
        </w:rPr>
      </w:pPr>
      <w:r w:rsidRPr="00155A64">
        <w:rPr>
          <w:rFonts w:ascii="Times New Roman" w:hAnsi="Times New Roman" w:cs="Times New Roman"/>
          <w:szCs w:val="22"/>
        </w:rPr>
        <w:t>Putting money into any old 80C investment is not what tax planning is about.</w:t>
      </w:r>
    </w:p>
    <w:p w14:paraId="001096D7" w14:textId="0854A9DE" w:rsidR="002610AA" w:rsidRPr="00155A64" w:rsidRDefault="008179DB" w:rsidP="00155A64">
      <w:pPr>
        <w:pStyle w:val="ListParagraph"/>
        <w:numPr>
          <w:ilvl w:val="0"/>
          <w:numId w:val="2"/>
        </w:numPr>
        <w:spacing w:after="0"/>
        <w:ind w:left="284" w:firstLine="0"/>
        <w:jc w:val="both"/>
        <w:rPr>
          <w:rFonts w:ascii="Times New Roman" w:hAnsi="Times New Roman" w:cs="Times New Roman"/>
          <w:szCs w:val="22"/>
        </w:rPr>
      </w:pPr>
      <w:r w:rsidRPr="00155A64">
        <w:rPr>
          <w:rFonts w:ascii="Times New Roman" w:hAnsi="Times New Roman" w:cs="Times New Roman"/>
          <w:szCs w:val="22"/>
        </w:rPr>
        <w:t>Doing some tax planning is simple. Tax preparation is a breeze. As long as one is disciplined in managing their money, it's a skill that anyone can pick up and put into practise with minimal effort.</w:t>
      </w:r>
    </w:p>
    <w:p w14:paraId="17775AF9" w14:textId="77777777" w:rsidR="002610AA" w:rsidRPr="00155A64" w:rsidRDefault="002610AA" w:rsidP="00155A64">
      <w:pPr>
        <w:pStyle w:val="ListParagraph"/>
        <w:spacing w:after="0"/>
        <w:ind w:left="1110"/>
        <w:jc w:val="both"/>
        <w:rPr>
          <w:rFonts w:ascii="Times New Roman" w:hAnsi="Times New Roman" w:cs="Times New Roman"/>
          <w:szCs w:val="22"/>
        </w:rPr>
      </w:pPr>
    </w:p>
    <w:p w14:paraId="58E9C405" w14:textId="77777777" w:rsidR="002610AA" w:rsidRPr="00155A64" w:rsidRDefault="002610AA" w:rsidP="00155A64">
      <w:pPr>
        <w:shd w:val="clear" w:color="auto" w:fill="FFFFFF"/>
        <w:spacing w:after="0"/>
        <w:jc w:val="both"/>
        <w:rPr>
          <w:rFonts w:ascii="Times New Roman" w:eastAsia="Times New Roman" w:hAnsi="Times New Roman" w:cs="Times New Roman"/>
          <w:b/>
          <w:bCs/>
          <w:color w:val="000000"/>
          <w:spacing w:val="-1"/>
          <w:szCs w:val="22"/>
          <w:lang w:eastAsia="en-IN"/>
        </w:rPr>
      </w:pPr>
      <w:r w:rsidRPr="00155A64">
        <w:rPr>
          <w:rFonts w:ascii="Times New Roman" w:eastAsia="Times New Roman" w:hAnsi="Times New Roman" w:cs="Times New Roman"/>
          <w:b/>
          <w:bCs/>
          <w:color w:val="000000"/>
          <w:szCs w:val="22"/>
          <w:lang w:eastAsia="en-IN"/>
        </w:rPr>
        <w:t xml:space="preserve">Types of Tax Planning </w:t>
      </w:r>
    </w:p>
    <w:p w14:paraId="7753F4D9" w14:textId="77777777" w:rsidR="008179DB" w:rsidRPr="00155A64" w:rsidRDefault="008179DB" w:rsidP="00155A64">
      <w:pPr>
        <w:spacing w:after="0"/>
        <w:jc w:val="both"/>
        <w:rPr>
          <w:rFonts w:ascii="Times New Roman" w:eastAsia="Times New Roman" w:hAnsi="Times New Roman" w:cs="Times New Roman"/>
          <w:color w:val="000000"/>
          <w:szCs w:val="22"/>
          <w:lang w:eastAsia="en-IN"/>
        </w:rPr>
      </w:pPr>
      <w:r w:rsidRPr="00155A64">
        <w:rPr>
          <w:rFonts w:ascii="Times New Roman" w:eastAsia="Times New Roman" w:hAnsi="Times New Roman" w:cs="Times New Roman"/>
          <w:color w:val="000000"/>
          <w:szCs w:val="22"/>
          <w:lang w:eastAsia="en-IN"/>
        </w:rPr>
        <w:t>The process of tax planning include both the creation of a model for a single transaction and the development of a comprehensive strategy for a whole business. Specifically, these are;</w:t>
      </w:r>
    </w:p>
    <w:p w14:paraId="16B87C63" w14:textId="707BBD05" w:rsidR="002610AA" w:rsidRPr="00155A64" w:rsidRDefault="008179DB" w:rsidP="00155A64">
      <w:pPr>
        <w:spacing w:after="0"/>
        <w:jc w:val="both"/>
        <w:rPr>
          <w:rFonts w:ascii="Times New Roman" w:hAnsi="Times New Roman" w:cs="Times New Roman"/>
          <w:szCs w:val="22"/>
        </w:rPr>
      </w:pPr>
      <w:r w:rsidRPr="00155A64">
        <w:rPr>
          <w:rFonts w:ascii="Times New Roman" w:eastAsia="Times New Roman" w:hAnsi="Times New Roman" w:cs="Times New Roman"/>
          <w:color w:val="000000"/>
          <w:szCs w:val="22"/>
          <w:lang w:eastAsia="en-IN"/>
        </w:rPr>
        <w:t>Various Tax Strategies The tax planning process might involve anything from developing a template for a single transaction to extensive strategic planning for a whole organisation. It includes;</w:t>
      </w:r>
    </w:p>
    <w:p w14:paraId="3E8891FF" w14:textId="77777777" w:rsidR="002610AA" w:rsidRPr="00155A64" w:rsidRDefault="002610AA" w:rsidP="00155A64">
      <w:pPr>
        <w:shd w:val="clear" w:color="auto" w:fill="FFFFFF"/>
        <w:spacing w:after="0"/>
        <w:jc w:val="both"/>
        <w:rPr>
          <w:rFonts w:ascii="Times New Roman" w:eastAsia="Times New Roman" w:hAnsi="Times New Roman" w:cs="Times New Roman"/>
          <w:b/>
          <w:bCs/>
          <w:color w:val="000000"/>
          <w:spacing w:val="1319"/>
          <w:szCs w:val="22"/>
          <w:lang w:eastAsia="en-IN"/>
        </w:rPr>
      </w:pPr>
      <w:r w:rsidRPr="00155A64">
        <w:rPr>
          <w:rFonts w:ascii="Times New Roman" w:eastAsia="Times New Roman" w:hAnsi="Times New Roman" w:cs="Times New Roman"/>
          <w:b/>
          <w:bCs/>
          <w:color w:val="000000"/>
          <w:szCs w:val="22"/>
          <w:lang w:eastAsia="en-IN"/>
        </w:rPr>
        <w:t xml:space="preserve">Short and long range tax planning:  </w:t>
      </w:r>
    </w:p>
    <w:p w14:paraId="057E439A" w14:textId="77777777" w:rsidR="008179DB" w:rsidRPr="00155A64" w:rsidRDefault="002610AA" w:rsidP="00155A64">
      <w:pPr>
        <w:spacing w:after="0"/>
        <w:jc w:val="both"/>
        <w:rPr>
          <w:rFonts w:ascii="Times New Roman" w:eastAsia="Times New Roman" w:hAnsi="Times New Roman" w:cs="Times New Roman"/>
          <w:color w:val="000000"/>
          <w:szCs w:val="22"/>
          <w:lang w:eastAsia="en-IN"/>
        </w:rPr>
      </w:pPr>
      <w:r w:rsidRPr="00155A64">
        <w:rPr>
          <w:rFonts w:ascii="Times New Roman" w:eastAsia="Times New Roman" w:hAnsi="Times New Roman" w:cs="Times New Roman"/>
          <w:color w:val="000000"/>
          <w:szCs w:val="22"/>
          <w:lang w:eastAsia="en-IN"/>
        </w:rPr>
        <w:t xml:space="preserve"> </w:t>
      </w:r>
      <w:r w:rsidR="008179DB" w:rsidRPr="00155A64">
        <w:rPr>
          <w:rFonts w:ascii="Times New Roman" w:eastAsia="Times New Roman" w:hAnsi="Times New Roman" w:cs="Times New Roman"/>
          <w:color w:val="000000"/>
          <w:szCs w:val="22"/>
          <w:lang w:eastAsia="en-IN"/>
        </w:rPr>
        <w:t>In contrast to long-term planning, which takes into account many variables, short-term planning focuses on the next year to accomplish a finite goal. He can save a lot of money on taxes without making any long-term commitments thanks to this strategy.</w:t>
      </w:r>
    </w:p>
    <w:p w14:paraId="290E48A1" w14:textId="0CB31B56" w:rsidR="002610AA" w:rsidRPr="00155A64" w:rsidRDefault="008179DB" w:rsidP="00155A64">
      <w:pPr>
        <w:spacing w:after="0"/>
        <w:jc w:val="both"/>
        <w:rPr>
          <w:rFonts w:ascii="Times New Roman" w:hAnsi="Times New Roman" w:cs="Times New Roman"/>
          <w:szCs w:val="22"/>
        </w:rPr>
      </w:pPr>
      <w:r w:rsidRPr="00155A64">
        <w:rPr>
          <w:rFonts w:ascii="Times New Roman" w:eastAsia="Times New Roman" w:hAnsi="Times New Roman" w:cs="Times New Roman"/>
          <w:color w:val="000000"/>
          <w:szCs w:val="22"/>
          <w:lang w:eastAsia="en-IN"/>
        </w:rPr>
        <w:t>However, long-term planning entails undertaking actions that may not yield results right away. For instance, an assessee who gives his minor son his stock interests is aware that his son's income from the shares would be clubbed with his own, but that this clubbing will end once his son becomes 18.</w:t>
      </w:r>
    </w:p>
    <w:p w14:paraId="2405057B" w14:textId="705106A0" w:rsidR="002610AA" w:rsidRPr="00155A64" w:rsidRDefault="002610AA" w:rsidP="00155A64">
      <w:pPr>
        <w:spacing w:after="0"/>
        <w:jc w:val="both"/>
        <w:rPr>
          <w:rFonts w:ascii="Times New Roman" w:hAnsi="Times New Roman" w:cs="Times New Roman"/>
          <w:szCs w:val="22"/>
        </w:rPr>
      </w:pPr>
      <w:r w:rsidRPr="00155A64">
        <w:rPr>
          <w:rFonts w:ascii="Times New Roman" w:hAnsi="Times New Roman" w:cs="Times New Roman"/>
          <w:b/>
          <w:bCs/>
          <w:szCs w:val="22"/>
        </w:rPr>
        <w:t>Permissive tax planning</w:t>
      </w:r>
      <w:r w:rsidRPr="00155A64">
        <w:rPr>
          <w:rFonts w:ascii="Times New Roman" w:hAnsi="Times New Roman" w:cs="Times New Roman"/>
          <w:szCs w:val="22"/>
        </w:rPr>
        <w:t xml:space="preserve">:   </w:t>
      </w:r>
      <w:r w:rsidR="008179DB" w:rsidRPr="00155A64">
        <w:rPr>
          <w:rFonts w:ascii="Times New Roman" w:hAnsi="Times New Roman" w:cs="Times New Roman"/>
          <w:szCs w:val="22"/>
        </w:rPr>
        <w:t>In the context of tax law, permissive refers to planning that is allowed under certain regulations. The tax regulations of our nation provide a number of deductions and credits.</w:t>
      </w:r>
    </w:p>
    <w:p w14:paraId="6FB013FA" w14:textId="71BDA3F6" w:rsidR="00561FA5" w:rsidRPr="00155A64" w:rsidRDefault="002610AA" w:rsidP="00155A64">
      <w:pPr>
        <w:spacing w:after="0"/>
        <w:jc w:val="both"/>
        <w:rPr>
          <w:rFonts w:ascii="Times New Roman" w:hAnsi="Times New Roman" w:cs="Times New Roman"/>
          <w:szCs w:val="22"/>
        </w:rPr>
      </w:pPr>
      <w:r w:rsidRPr="00155A64">
        <w:rPr>
          <w:rFonts w:ascii="Times New Roman" w:hAnsi="Times New Roman" w:cs="Times New Roman"/>
          <w:b/>
          <w:bCs/>
          <w:szCs w:val="22"/>
        </w:rPr>
        <w:t>Purposive Tax planning</w:t>
      </w:r>
      <w:r w:rsidRPr="00155A64">
        <w:rPr>
          <w:rFonts w:ascii="Times New Roman" w:hAnsi="Times New Roman" w:cs="Times New Roman"/>
          <w:szCs w:val="22"/>
        </w:rPr>
        <w:t xml:space="preserve">:   </w:t>
      </w:r>
      <w:r w:rsidR="008179DB" w:rsidRPr="00155A64">
        <w:rPr>
          <w:rFonts w:ascii="Times New Roman" w:hAnsi="Times New Roman" w:cs="Times New Roman"/>
          <w:szCs w:val="22"/>
        </w:rPr>
        <w:t>Intentional tax planning presupposes doing actions that are illegal but have the desired effect. Permissive tax planning, such as that allowed under Sections 60–65 of the Income Tax Code, has the express sanction of the legislation, but purposive tax planning does not. From 1961 on, the assessee's total income includes the money made by other people.</w:t>
      </w:r>
    </w:p>
    <w:p w14:paraId="50FB44EC" w14:textId="77777777" w:rsidR="002610AA" w:rsidRPr="00155A64" w:rsidRDefault="002610AA"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 xml:space="preserve">Tax management  </w:t>
      </w:r>
    </w:p>
    <w:p w14:paraId="528FE92D" w14:textId="7081C6BE" w:rsidR="002610AA" w:rsidRPr="00155A64" w:rsidRDefault="008179DB" w:rsidP="00155A64">
      <w:pPr>
        <w:spacing w:after="0"/>
        <w:jc w:val="both"/>
        <w:rPr>
          <w:rFonts w:ascii="Times New Roman" w:hAnsi="Times New Roman" w:cs="Times New Roman"/>
          <w:szCs w:val="22"/>
        </w:rPr>
      </w:pPr>
      <w:r w:rsidRPr="00155A64">
        <w:rPr>
          <w:rFonts w:ascii="Times New Roman" w:hAnsi="Times New Roman" w:cs="Times New Roman"/>
          <w:szCs w:val="22"/>
        </w:rPr>
        <w:t>The term tax management refers to the behind-the-scenes work that goes into preparing tax returns. Allowances, deductions, and exemptions from taxes may be made more manageable with the help of competent tax management that ensures they meet all applicable requirements. If an assessee uses the mercantile method of accounting, for instance, and fails to file a claim of expenditures on an accrual basis (as required by Section 43B), the assessee would not be able to deduct such expenses in any following years. To the same extent, the assessing officer cannot arbitrarily deny the deductions stated in sections 80IA, 80JJA, etc. By timely paying taxes owed, tax management also safeguards the assessed from criminal prosecution and penalties. Therefore, tax management is an essential component of tax planning. Planning taxes without understanding tax management is like being a doctor who doesn't research how to provide the medicine.</w:t>
      </w:r>
    </w:p>
    <w:p w14:paraId="75F13C36" w14:textId="77777777" w:rsidR="002610AA" w:rsidRPr="00155A64" w:rsidRDefault="002610AA"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 xml:space="preserve">THE  POPULAR  INVESTMENT OPTIONS    </w:t>
      </w:r>
    </w:p>
    <w:p w14:paraId="15CEDDFE" w14:textId="77777777" w:rsidR="008179DB" w:rsidRPr="00155A64" w:rsidRDefault="008179DB" w:rsidP="00155A64">
      <w:pPr>
        <w:pStyle w:val="ListParagraph"/>
        <w:numPr>
          <w:ilvl w:val="0"/>
          <w:numId w:val="3"/>
        </w:numPr>
        <w:spacing w:after="0"/>
        <w:jc w:val="both"/>
        <w:rPr>
          <w:rFonts w:ascii="Times New Roman" w:hAnsi="Times New Roman" w:cs="Times New Roman"/>
          <w:szCs w:val="22"/>
        </w:rPr>
      </w:pPr>
      <w:r w:rsidRPr="00155A64">
        <w:rPr>
          <w:rFonts w:ascii="Times New Roman" w:hAnsi="Times New Roman" w:cs="Times New Roman"/>
          <w:szCs w:val="22"/>
        </w:rPr>
        <w:lastRenderedPageBreak/>
        <w:t>Post Office or Bank Provident Fund (PPF), Statutory Provident Fund (deducted and paid by the employees). Insurance premium for a life (with the LIC or other private insurers).</w:t>
      </w:r>
    </w:p>
    <w:p w14:paraId="43A1F695" w14:textId="77777777" w:rsidR="008179DB" w:rsidRPr="00155A64" w:rsidRDefault="008179DB" w:rsidP="00155A64">
      <w:pPr>
        <w:pStyle w:val="ListParagraph"/>
        <w:numPr>
          <w:ilvl w:val="0"/>
          <w:numId w:val="3"/>
        </w:numPr>
        <w:spacing w:after="0"/>
        <w:jc w:val="both"/>
        <w:rPr>
          <w:rFonts w:ascii="Times New Roman" w:hAnsi="Times New Roman" w:cs="Times New Roman"/>
          <w:szCs w:val="22"/>
        </w:rPr>
      </w:pPr>
      <w:r w:rsidRPr="00155A64">
        <w:rPr>
          <w:rFonts w:ascii="Times New Roman" w:hAnsi="Times New Roman" w:cs="Times New Roman"/>
          <w:szCs w:val="22"/>
        </w:rPr>
        <w:t>Linked-unit insurance (UTI &amp; mutual funds).</w:t>
      </w:r>
    </w:p>
    <w:p w14:paraId="66A05891" w14:textId="77777777" w:rsidR="008179DB" w:rsidRPr="00155A64" w:rsidRDefault="008179DB" w:rsidP="00155A64">
      <w:pPr>
        <w:pStyle w:val="ListParagraph"/>
        <w:numPr>
          <w:ilvl w:val="0"/>
          <w:numId w:val="3"/>
        </w:numPr>
        <w:spacing w:after="0"/>
        <w:jc w:val="both"/>
        <w:rPr>
          <w:rFonts w:ascii="Times New Roman" w:hAnsi="Times New Roman" w:cs="Times New Roman"/>
          <w:szCs w:val="22"/>
        </w:rPr>
      </w:pPr>
      <w:r w:rsidRPr="00155A64">
        <w:rPr>
          <w:rFonts w:ascii="Times New Roman" w:hAnsi="Times New Roman" w:cs="Times New Roman"/>
          <w:szCs w:val="22"/>
        </w:rPr>
        <w:t>Equity-linked savings plans.</w:t>
      </w:r>
    </w:p>
    <w:p w14:paraId="1CD2A971" w14:textId="77777777" w:rsidR="008179DB" w:rsidRPr="00155A64" w:rsidRDefault="008179DB" w:rsidP="00155A64">
      <w:pPr>
        <w:pStyle w:val="ListParagraph"/>
        <w:numPr>
          <w:ilvl w:val="0"/>
          <w:numId w:val="3"/>
        </w:numPr>
        <w:spacing w:after="0"/>
        <w:jc w:val="both"/>
        <w:rPr>
          <w:rFonts w:ascii="Times New Roman" w:hAnsi="Times New Roman" w:cs="Times New Roman"/>
          <w:szCs w:val="22"/>
        </w:rPr>
      </w:pPr>
      <w:r w:rsidRPr="00155A64">
        <w:rPr>
          <w:rFonts w:ascii="Times New Roman" w:hAnsi="Times New Roman" w:cs="Times New Roman"/>
          <w:szCs w:val="22"/>
        </w:rPr>
        <w:t>Certificates for National Savings.</w:t>
      </w:r>
    </w:p>
    <w:p w14:paraId="1D07F618" w14:textId="77777777" w:rsidR="008179DB" w:rsidRPr="00155A64" w:rsidRDefault="008179DB" w:rsidP="00155A64">
      <w:pPr>
        <w:pStyle w:val="ListParagraph"/>
        <w:numPr>
          <w:ilvl w:val="0"/>
          <w:numId w:val="3"/>
        </w:numPr>
        <w:spacing w:after="0"/>
        <w:jc w:val="both"/>
        <w:rPr>
          <w:rFonts w:ascii="Times New Roman" w:hAnsi="Times New Roman" w:cs="Times New Roman"/>
          <w:szCs w:val="22"/>
        </w:rPr>
      </w:pPr>
      <w:r w:rsidRPr="00155A64">
        <w:rPr>
          <w:rFonts w:ascii="Times New Roman" w:hAnsi="Times New Roman" w:cs="Times New Roman"/>
          <w:szCs w:val="22"/>
        </w:rPr>
        <w:t>Investment in infrastructure using bonds.</w:t>
      </w:r>
    </w:p>
    <w:p w14:paraId="029C174C" w14:textId="5578AC71" w:rsidR="002610AA" w:rsidRPr="00155A64" w:rsidRDefault="008179DB" w:rsidP="00155A64">
      <w:pPr>
        <w:pStyle w:val="ListParagraph"/>
        <w:numPr>
          <w:ilvl w:val="0"/>
          <w:numId w:val="3"/>
        </w:numPr>
        <w:spacing w:after="0"/>
        <w:jc w:val="both"/>
        <w:rPr>
          <w:rFonts w:ascii="Times New Roman" w:hAnsi="Times New Roman" w:cs="Times New Roman"/>
          <w:szCs w:val="22"/>
        </w:rPr>
      </w:pPr>
      <w:r w:rsidRPr="00155A64">
        <w:rPr>
          <w:rFonts w:ascii="Times New Roman" w:hAnsi="Times New Roman" w:cs="Times New Roman"/>
          <w:szCs w:val="22"/>
        </w:rPr>
        <w:t>Housing financing</w:t>
      </w:r>
    </w:p>
    <w:p w14:paraId="39367D40" w14:textId="77777777" w:rsidR="002610AA" w:rsidRPr="00155A64" w:rsidRDefault="002610AA" w:rsidP="00155A64">
      <w:pPr>
        <w:pStyle w:val="ListParagraph"/>
        <w:spacing w:after="0"/>
        <w:jc w:val="both"/>
        <w:rPr>
          <w:rFonts w:ascii="Times New Roman" w:hAnsi="Times New Roman" w:cs="Times New Roman"/>
          <w:szCs w:val="22"/>
        </w:rPr>
      </w:pPr>
    </w:p>
    <w:p w14:paraId="7A6FD465" w14:textId="77777777" w:rsidR="00311A72" w:rsidRPr="00155A64" w:rsidRDefault="002610AA"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TAX SAVING INSTRUMENTS</w:t>
      </w:r>
    </w:p>
    <w:p w14:paraId="2F3416DC" w14:textId="0025EF1B" w:rsidR="00311A72" w:rsidRPr="00155A64" w:rsidRDefault="002610AA" w:rsidP="00155A64">
      <w:pPr>
        <w:spacing w:after="0"/>
        <w:jc w:val="both"/>
        <w:rPr>
          <w:rFonts w:ascii="Times New Roman" w:hAnsi="Times New Roman" w:cs="Times New Roman"/>
          <w:szCs w:val="22"/>
        </w:rPr>
      </w:pPr>
      <w:r w:rsidRPr="00155A64">
        <w:rPr>
          <w:rFonts w:ascii="Times New Roman" w:hAnsi="Times New Roman" w:cs="Times New Roman"/>
          <w:szCs w:val="22"/>
        </w:rPr>
        <w:t xml:space="preserve"> </w:t>
      </w:r>
      <w:r w:rsidR="008179DB" w:rsidRPr="00155A64">
        <w:rPr>
          <w:rFonts w:ascii="Times New Roman" w:hAnsi="Times New Roman" w:cs="Times New Roman"/>
          <w:szCs w:val="22"/>
        </w:rPr>
        <w:t>Only individuals or HUFs are eligible for deductions under Section 80C, and only up to a maximum of Rs. 1,00,000 can be deducted from taxable income before interest and penalties are applied. The following are eligible for a deduction under section 80C:</w:t>
      </w:r>
    </w:p>
    <w:p w14:paraId="7C5DCC9C" w14:textId="77777777" w:rsidR="00311A72" w:rsidRPr="00155A64" w:rsidRDefault="002610AA" w:rsidP="00155A64">
      <w:pPr>
        <w:pStyle w:val="ListParagraph"/>
        <w:numPr>
          <w:ilvl w:val="0"/>
          <w:numId w:val="4"/>
        </w:numPr>
        <w:spacing w:after="0"/>
        <w:jc w:val="both"/>
        <w:rPr>
          <w:rFonts w:ascii="Times New Roman" w:hAnsi="Times New Roman" w:cs="Times New Roman"/>
          <w:szCs w:val="22"/>
        </w:rPr>
      </w:pPr>
      <w:r w:rsidRPr="00155A64">
        <w:rPr>
          <w:rFonts w:ascii="Times New Roman" w:hAnsi="Times New Roman" w:cs="Times New Roman"/>
          <w:szCs w:val="22"/>
        </w:rPr>
        <w:t xml:space="preserve">Contribution  /  subscription  to  PPF,  NSC,  NSS, ULIP, ELSS  </w:t>
      </w:r>
    </w:p>
    <w:p w14:paraId="357F82F2" w14:textId="77777777" w:rsidR="002610AA" w:rsidRPr="00155A64" w:rsidRDefault="002610AA" w:rsidP="00155A64">
      <w:pPr>
        <w:pStyle w:val="ListParagraph"/>
        <w:numPr>
          <w:ilvl w:val="0"/>
          <w:numId w:val="4"/>
        </w:numPr>
        <w:spacing w:after="0"/>
        <w:jc w:val="both"/>
        <w:rPr>
          <w:rFonts w:ascii="Times New Roman" w:hAnsi="Times New Roman" w:cs="Times New Roman"/>
          <w:szCs w:val="22"/>
        </w:rPr>
      </w:pPr>
      <w:r w:rsidRPr="00155A64">
        <w:rPr>
          <w:rFonts w:ascii="Times New Roman" w:hAnsi="Times New Roman" w:cs="Times New Roman"/>
          <w:szCs w:val="22"/>
        </w:rPr>
        <w:t xml:space="preserve">Fixed Deposit with any schedule bank for at least 5 years  </w:t>
      </w:r>
    </w:p>
    <w:p w14:paraId="77CF4492" w14:textId="77777777" w:rsidR="00311A72" w:rsidRPr="00155A64" w:rsidRDefault="00311A72"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Equity Linked Saving Schemes</w:t>
      </w:r>
    </w:p>
    <w:p w14:paraId="658679E4" w14:textId="02E2E9FD" w:rsidR="00311A72" w:rsidRPr="00155A64" w:rsidRDefault="008179DB" w:rsidP="00155A64">
      <w:pPr>
        <w:spacing w:after="0"/>
        <w:jc w:val="both"/>
        <w:rPr>
          <w:rFonts w:ascii="Times New Roman" w:hAnsi="Times New Roman" w:cs="Times New Roman"/>
          <w:szCs w:val="22"/>
        </w:rPr>
      </w:pPr>
      <w:r w:rsidRPr="00155A64">
        <w:rPr>
          <w:rFonts w:ascii="Times New Roman" w:hAnsi="Times New Roman" w:cs="Times New Roman"/>
          <w:szCs w:val="22"/>
        </w:rPr>
        <w:t>To help its clients minimise their tax liability, mutual fund companies provide a product called an ELSS. Funds from ELSS are often invested in the stock market, allowing investors to profit from price increases in their holdings. Section 80C of the Income Tax Act 1961a allows for a tax deduction for ELSS investments.</w:t>
      </w:r>
    </w:p>
    <w:p w14:paraId="72FF0C8C" w14:textId="77777777" w:rsidR="00311A72" w:rsidRPr="00155A64" w:rsidRDefault="00311A72"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 xml:space="preserve">Life and Medical Insurance Plans  </w:t>
      </w:r>
    </w:p>
    <w:p w14:paraId="3D2451F8" w14:textId="77777777" w:rsidR="008179DB" w:rsidRPr="00155A64" w:rsidRDefault="008179DB" w:rsidP="00155A64">
      <w:pPr>
        <w:spacing w:after="0"/>
        <w:jc w:val="both"/>
        <w:rPr>
          <w:rFonts w:ascii="Times New Roman" w:hAnsi="Times New Roman" w:cs="Times New Roman"/>
          <w:szCs w:val="22"/>
        </w:rPr>
      </w:pPr>
      <w:r w:rsidRPr="00155A64">
        <w:rPr>
          <w:rFonts w:ascii="Times New Roman" w:hAnsi="Times New Roman" w:cs="Times New Roman"/>
          <w:szCs w:val="22"/>
        </w:rPr>
        <w:t>In order to minimise their taxable income, many people turn to life insurance policies. In addition to providing financial protection in the case of a catastrophic occurrence like an accident, death, etc., insurance plans can provide tax deductions on premiums paid. Tax deductions of up to Rs.1 lakh can be claimed annually for premiums paid on life insurance contracts under section 80C. The majority of life insurance providers also provide medical insurance and retirement plans that qualify for a tax break under Internal Revenue Code section 80D.</w:t>
      </w:r>
    </w:p>
    <w:p w14:paraId="093F0FBC" w14:textId="76AA470C" w:rsidR="00311A72" w:rsidRPr="00155A64" w:rsidRDefault="008179DB" w:rsidP="00155A64">
      <w:pPr>
        <w:spacing w:after="0"/>
        <w:jc w:val="both"/>
        <w:rPr>
          <w:rFonts w:ascii="Times New Roman" w:hAnsi="Times New Roman" w:cs="Times New Roman"/>
          <w:szCs w:val="22"/>
        </w:rPr>
      </w:pPr>
      <w:r w:rsidRPr="00155A64">
        <w:rPr>
          <w:rFonts w:ascii="Times New Roman" w:hAnsi="Times New Roman" w:cs="Times New Roman"/>
          <w:szCs w:val="22"/>
        </w:rPr>
        <w:t>A person or HUF can deduct the cost of their health insurance premium or contributions to their retirement or savings plans provided they meet certain requirements. Taxpayers have always found the best way to save money was via purchasing a life insurance policy. To protect the policyholder and his or her family from financial ruin in the case of a catastrophic event (accident, death, etc.), insurance plans not only provide tax breaks for premium payments but also provide insurance coverage. Under section 80C of the Income Tax Act of 1961, taxpayers can deduct up to Rs.1 lakh in annual premiums paid for life insurance. Typically, if a company offers life insurance, they also provide health insurance, dental insurance, and retirement plans that qualify for a tax deduction under Section 80D. Any premium paid by an individual or HUF for medical insurance, or any contribution to a medical savings account, is tax deductible.</w:t>
      </w:r>
    </w:p>
    <w:p w14:paraId="291F7263" w14:textId="77777777" w:rsidR="008179DB" w:rsidRPr="00155A64" w:rsidRDefault="008179DB" w:rsidP="00155A64">
      <w:pPr>
        <w:pStyle w:val="ListParagraph"/>
        <w:numPr>
          <w:ilvl w:val="0"/>
          <w:numId w:val="5"/>
        </w:numPr>
        <w:spacing w:after="0"/>
        <w:jc w:val="both"/>
        <w:rPr>
          <w:rFonts w:ascii="Times New Roman" w:hAnsi="Times New Roman" w:cs="Times New Roman"/>
          <w:szCs w:val="22"/>
        </w:rPr>
      </w:pPr>
      <w:r w:rsidRPr="00155A64">
        <w:rPr>
          <w:rFonts w:ascii="Times New Roman" w:hAnsi="Times New Roman" w:cs="Times New Roman"/>
          <w:szCs w:val="22"/>
        </w:rPr>
        <w:t>any non-monetary donation to the Central Government Health Scheme.</w:t>
      </w:r>
    </w:p>
    <w:p w14:paraId="7B3F2923" w14:textId="1D6558A7" w:rsidR="00311A72" w:rsidRPr="00155A64" w:rsidRDefault="008179DB" w:rsidP="00155A64">
      <w:pPr>
        <w:pStyle w:val="ListParagraph"/>
        <w:numPr>
          <w:ilvl w:val="0"/>
          <w:numId w:val="5"/>
        </w:numPr>
        <w:spacing w:after="0"/>
        <w:jc w:val="both"/>
        <w:rPr>
          <w:rFonts w:ascii="Times New Roman" w:hAnsi="Times New Roman" w:cs="Times New Roman"/>
          <w:szCs w:val="22"/>
        </w:rPr>
      </w:pPr>
      <w:r w:rsidRPr="00155A64">
        <w:rPr>
          <w:rFonts w:ascii="Times New Roman" w:hAnsi="Times New Roman" w:cs="Times New Roman"/>
          <w:szCs w:val="22"/>
        </w:rPr>
        <w:t>Maximum of $15,000 (for individual, spouse, and dependent children insurance) or $20,000 (for senior citizen insurance) and Maximum of $15,000 (for insurance of parents) or $20,000 (for senior citizen insurance).</w:t>
      </w:r>
    </w:p>
    <w:p w14:paraId="411A2F9B" w14:textId="77777777" w:rsidR="00311A72" w:rsidRPr="00155A64" w:rsidRDefault="00311A72"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 xml:space="preserve">Housing Loan </w:t>
      </w:r>
    </w:p>
    <w:p w14:paraId="6742BF44" w14:textId="77777777" w:rsidR="008179DB" w:rsidRPr="00155A64" w:rsidRDefault="008179DB" w:rsidP="00155A64">
      <w:pPr>
        <w:spacing w:after="0"/>
        <w:jc w:val="both"/>
        <w:rPr>
          <w:rFonts w:ascii="Times New Roman" w:hAnsi="Times New Roman" w:cs="Times New Roman"/>
          <w:szCs w:val="22"/>
        </w:rPr>
      </w:pPr>
      <w:r w:rsidRPr="00155A64">
        <w:rPr>
          <w:rFonts w:ascii="Times New Roman" w:hAnsi="Times New Roman" w:cs="Times New Roman"/>
          <w:szCs w:val="22"/>
        </w:rPr>
        <w:t>Loans from the Federal Government, a State Government, a Bank, an Insurance Company, or a National Savings and Investment</w:t>
      </w:r>
    </w:p>
    <w:p w14:paraId="4D6907E7" w14:textId="77777777" w:rsidR="008179DB" w:rsidRPr="00155A64" w:rsidRDefault="008179DB" w:rsidP="00155A64">
      <w:pPr>
        <w:spacing w:after="0"/>
        <w:jc w:val="both"/>
        <w:rPr>
          <w:rFonts w:ascii="Times New Roman" w:hAnsi="Times New Roman" w:cs="Times New Roman"/>
          <w:szCs w:val="22"/>
        </w:rPr>
      </w:pPr>
      <w:r w:rsidRPr="00155A64">
        <w:rPr>
          <w:rFonts w:ascii="Times New Roman" w:hAnsi="Times New Roman" w:cs="Times New Roman"/>
          <w:szCs w:val="22"/>
        </w:rPr>
        <w:t>Housing Bank or from an employer (if the employer is a statutory corporation, public enterprise, university, college, local government, or co-operative society) under section 80C.</w:t>
      </w:r>
    </w:p>
    <w:p w14:paraId="0FB9B4EA" w14:textId="77777777" w:rsidR="008179DB" w:rsidRPr="00155A64" w:rsidRDefault="008179DB" w:rsidP="00155A64">
      <w:pPr>
        <w:spacing w:after="0"/>
        <w:jc w:val="both"/>
        <w:rPr>
          <w:rFonts w:ascii="Times New Roman" w:hAnsi="Times New Roman" w:cs="Times New Roman"/>
          <w:szCs w:val="22"/>
        </w:rPr>
      </w:pPr>
      <w:r w:rsidRPr="00155A64">
        <w:rPr>
          <w:rFonts w:ascii="Times New Roman" w:hAnsi="Times New Roman" w:cs="Times New Roman"/>
          <w:szCs w:val="22"/>
        </w:rPr>
        <w:lastRenderedPageBreak/>
        <w:t>Payments to the Public Provident Fund (PPF) or Employees Provident Fund (EPF) qualify for tax breaks under Section 80C, together with contributions to the EPF.</w:t>
      </w:r>
    </w:p>
    <w:p w14:paraId="534EBC52" w14:textId="50A8B5B4" w:rsidR="00311A72" w:rsidRPr="00155A64" w:rsidRDefault="008179DB" w:rsidP="00155A64">
      <w:pPr>
        <w:spacing w:after="0"/>
        <w:jc w:val="both"/>
        <w:rPr>
          <w:rFonts w:ascii="Times New Roman" w:hAnsi="Times New Roman" w:cs="Times New Roman"/>
          <w:szCs w:val="22"/>
        </w:rPr>
      </w:pPr>
      <w:r w:rsidRPr="00155A64">
        <w:rPr>
          <w:rFonts w:ascii="Times New Roman" w:hAnsi="Times New Roman" w:cs="Times New Roman"/>
          <w:szCs w:val="22"/>
        </w:rPr>
        <w:t>While workers can contribute up to Rs.1,000,000 to EPF and PPF under section 80C, the total amount they can contribute is capped at Rs.1,00,000.</w:t>
      </w:r>
    </w:p>
    <w:p w14:paraId="0E9B6657" w14:textId="4DBFFB12" w:rsidR="00311A72" w:rsidRPr="00155A64" w:rsidRDefault="00561FA5" w:rsidP="00155A64">
      <w:pPr>
        <w:spacing w:after="0"/>
        <w:jc w:val="both"/>
        <w:rPr>
          <w:rFonts w:ascii="Times New Roman" w:hAnsi="Times New Roman" w:cs="Times New Roman"/>
          <w:szCs w:val="22"/>
        </w:rPr>
      </w:pPr>
      <w:r w:rsidRPr="00155A64">
        <w:rPr>
          <w:rFonts w:ascii="Times New Roman" w:hAnsi="Times New Roman" w:cs="Times New Roman"/>
          <w:szCs w:val="22"/>
        </w:rPr>
        <w:t xml:space="preserve"> </w:t>
      </w:r>
      <w:r w:rsidR="00311A72" w:rsidRPr="00155A64">
        <w:rPr>
          <w:rFonts w:ascii="Times New Roman" w:hAnsi="Times New Roman" w:cs="Times New Roman"/>
          <w:b/>
          <w:bCs/>
          <w:szCs w:val="22"/>
        </w:rPr>
        <w:t>National Savings Certificate</w:t>
      </w:r>
      <w:r w:rsidR="00311A72" w:rsidRPr="00155A64">
        <w:rPr>
          <w:rFonts w:ascii="Times New Roman" w:hAnsi="Times New Roman" w:cs="Times New Roman"/>
          <w:szCs w:val="22"/>
        </w:rPr>
        <w:t xml:space="preserve">: </w:t>
      </w:r>
      <w:r w:rsidR="008179DB" w:rsidRPr="00155A64">
        <w:rPr>
          <w:rFonts w:ascii="Times New Roman" w:hAnsi="Times New Roman" w:cs="Times New Roman"/>
          <w:szCs w:val="22"/>
        </w:rPr>
        <w:t>Across the country, you may purchase it at any post office. Investments are unlimited, however you may only deduct Rs.1 lakh in total from your taxes by using NSCs (under section 80C).</w:t>
      </w:r>
    </w:p>
    <w:p w14:paraId="7AB1D531" w14:textId="6509903F" w:rsidR="00311A72" w:rsidRPr="00155A64" w:rsidRDefault="00561FA5" w:rsidP="00155A64">
      <w:pPr>
        <w:spacing w:after="0"/>
        <w:jc w:val="both"/>
        <w:rPr>
          <w:rFonts w:ascii="Times New Roman" w:hAnsi="Times New Roman" w:cs="Times New Roman"/>
          <w:szCs w:val="22"/>
        </w:rPr>
      </w:pPr>
      <w:r w:rsidRPr="00155A64">
        <w:rPr>
          <w:rFonts w:ascii="Times New Roman" w:hAnsi="Times New Roman" w:cs="Times New Roman"/>
          <w:szCs w:val="22"/>
        </w:rPr>
        <w:t xml:space="preserve"> </w:t>
      </w:r>
      <w:r w:rsidR="00311A72" w:rsidRPr="00155A64">
        <w:rPr>
          <w:rFonts w:ascii="Times New Roman" w:hAnsi="Times New Roman" w:cs="Times New Roman"/>
          <w:b/>
          <w:bCs/>
          <w:szCs w:val="22"/>
        </w:rPr>
        <w:t>Term Deposits and</w:t>
      </w:r>
      <w:r w:rsidR="00311A72" w:rsidRPr="00155A64">
        <w:rPr>
          <w:rFonts w:ascii="Times New Roman" w:hAnsi="Times New Roman" w:cs="Times New Roman"/>
          <w:szCs w:val="22"/>
        </w:rPr>
        <w:t xml:space="preserve"> </w:t>
      </w:r>
      <w:r w:rsidR="00311A72" w:rsidRPr="00155A64">
        <w:rPr>
          <w:rFonts w:ascii="Times New Roman" w:hAnsi="Times New Roman" w:cs="Times New Roman"/>
          <w:b/>
          <w:bCs/>
          <w:szCs w:val="22"/>
        </w:rPr>
        <w:t>Bonds</w:t>
      </w:r>
      <w:r w:rsidR="00311A72" w:rsidRPr="00155A64">
        <w:rPr>
          <w:rFonts w:ascii="Times New Roman" w:hAnsi="Times New Roman" w:cs="Times New Roman"/>
          <w:szCs w:val="22"/>
        </w:rPr>
        <w:t xml:space="preserve">: </w:t>
      </w:r>
      <w:r w:rsidR="008179DB" w:rsidRPr="00155A64">
        <w:rPr>
          <w:rFonts w:ascii="Times New Roman" w:hAnsi="Times New Roman" w:cs="Times New Roman"/>
          <w:szCs w:val="22"/>
        </w:rPr>
        <w:t>It is possible to deduct interest paid on fixed deposits at several different commercial banks. There is a five-year commitment term for these deposits. The annual limit for section 80C investments in such deposits is Rs. 1 lakh. Stamp duty and homebuyer registration fees are two examples of additional, more specific costs.</w:t>
      </w:r>
      <w:r w:rsidR="00035448" w:rsidRPr="00155A64">
        <w:rPr>
          <w:rFonts w:ascii="Times New Roman" w:hAnsi="Times New Roman" w:cs="Times New Roman"/>
          <w:szCs w:val="22"/>
        </w:rPr>
        <w:t>”</w:t>
      </w:r>
      <w:r w:rsidR="008179DB" w:rsidRPr="00155A64">
        <w:rPr>
          <w:rFonts w:ascii="Times New Roman" w:hAnsi="Times New Roman" w:cs="Times New Roman"/>
          <w:szCs w:val="22"/>
        </w:rPr>
        <w:t xml:space="preserve"> Tax breaks can be claimed for things like transportation subsidies, discounted meals, and more in other chapters. Senior citizens and those with disabilities can also take advantage of additional tax breaks and exemptions.</w:t>
      </w:r>
    </w:p>
    <w:p w14:paraId="3A521F0E" w14:textId="71823D6C" w:rsidR="001E24CE" w:rsidRPr="00155A64" w:rsidRDefault="001E24CE"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 xml:space="preserve">Review of literature </w:t>
      </w:r>
    </w:p>
    <w:p w14:paraId="2C7B4F86" w14:textId="220FA2C1" w:rsidR="001E24CE" w:rsidRPr="00155A64" w:rsidRDefault="001E24CE" w:rsidP="00155A64">
      <w:pPr>
        <w:spacing w:after="0"/>
        <w:jc w:val="both"/>
        <w:rPr>
          <w:rFonts w:ascii="Times New Roman" w:hAnsi="Times New Roman" w:cs="Times New Roman"/>
          <w:szCs w:val="22"/>
        </w:rPr>
      </w:pPr>
      <w:r w:rsidRPr="00155A64">
        <w:rPr>
          <w:rFonts w:ascii="Times New Roman" w:hAnsi="Times New Roman" w:cs="Times New Roman"/>
          <w:szCs w:val="22"/>
        </w:rPr>
        <w:fldChar w:fldCharType="begin" w:fldLock="1"/>
      </w:r>
      <w:r w:rsidRPr="00155A64">
        <w:rPr>
          <w:rFonts w:ascii="Times New Roman" w:hAnsi="Times New Roman" w:cs="Times New Roman"/>
          <w:szCs w:val="22"/>
        </w:rPr>
        <w:instrText>ADDIN CSL_CITATION {"citationItems":[{"id":"ITEM-1","itemData":{"abstract":"Tax planning is an essential part of our financial planning. Efficient tax planning enables us to reduce our tax liability to the minimum. This is done by legitimately taking advantage of all tax exemptions, deductions rebates and allowances while ensuring that your investments are in line with their long-term goals. The purpose of the study is to find out the most suitable and popular tax saving instrument used to save tax and also to examine the amount saved by using that instrument. Over all findings reveals that the most adopted tax saving instrument is Life Insurance policy, which got the first rank in this study and the second most adopted tax saving instrument is Provident Fund.","author":[{"dropping-particle":"","family":"Savita","given":"","non-dropping-particle":"","parse-names":false,"suffix":""},{"dropping-particle":"","family":"Gautam","given":"Lokesh","non-dropping-particle":"","parse-names":false,"suffix":""}],"container-title":"Internaltional Journal of Management and Social Sciences Research","id":"ITEM-1","issue":"5","issued":{"date-parts":[["2013"]]},"page":"83-91","title":"Income Tax Planning : A Study of Tax Saving Instruments","type":"article-journal","volume":"2"},"uris":["http://www.mendeley.com/documents/?uuid=106cd884-ed7f-44a3-a824-47b73ee443ad"]}],"mendeley":{"formattedCitation":"(Savita and Gautam 2013)","plainTextFormattedCitation":"(Savita and Gautam 2013)","previouslyFormattedCitation":"(Savita and Gautam 2013)"},"properties":{"noteIndex":0},"schema":"https://github.com/citation-style-language/schema/raw/master/csl-citation.json"}</w:instrText>
      </w:r>
      <w:r w:rsidRPr="00155A64">
        <w:rPr>
          <w:rFonts w:ascii="Times New Roman" w:hAnsi="Times New Roman" w:cs="Times New Roman"/>
          <w:szCs w:val="22"/>
        </w:rPr>
        <w:fldChar w:fldCharType="separate"/>
      </w:r>
      <w:r w:rsidRPr="00155A64">
        <w:rPr>
          <w:rFonts w:ascii="Times New Roman" w:hAnsi="Times New Roman" w:cs="Times New Roman"/>
          <w:noProof/>
          <w:szCs w:val="22"/>
        </w:rPr>
        <w:t>(Savita and Gautam 2013)</w:t>
      </w:r>
      <w:r w:rsidRPr="00155A64">
        <w:rPr>
          <w:rFonts w:ascii="Times New Roman" w:hAnsi="Times New Roman" w:cs="Times New Roman"/>
          <w:szCs w:val="22"/>
        </w:rPr>
        <w:fldChar w:fldCharType="end"/>
      </w:r>
      <w:r w:rsidRPr="00155A64">
        <w:rPr>
          <w:rFonts w:ascii="Times New Roman" w:hAnsi="Times New Roman" w:cs="Times New Roman"/>
          <w:szCs w:val="22"/>
        </w:rPr>
        <w:t xml:space="preserve"> studied “Income Tax Planning: A Study of Tax Saving Instruments </w:t>
      </w:r>
      <w:r w:rsidR="008179DB" w:rsidRPr="00155A64">
        <w:rPr>
          <w:rFonts w:ascii="Times New Roman" w:hAnsi="Times New Roman" w:cs="Times New Roman"/>
          <w:szCs w:val="22"/>
        </w:rPr>
        <w:t>the results of which were Our financial strategy does not exclude tax planning. With careful tax preparation, we are able to pay as little in taxes as possible. To do this, you must make investments that are consistent with your long-term objectives while lawfully taking advantage of all available tax exemptions, deductions, refunds, and allowances. The study's goals are to identify the most common and effective tax-cutting strategies and to quantify the resulting savings. Overall, the results show that life insurance policies are the most popular kind of tax savings tool, followed closely by Provident Funds.</w:t>
      </w:r>
    </w:p>
    <w:p w14:paraId="75EBDB0D" w14:textId="5F6E2C9D" w:rsidR="001E24CE" w:rsidRPr="00155A64" w:rsidRDefault="001E24CE" w:rsidP="00155A64">
      <w:pPr>
        <w:spacing w:after="0"/>
        <w:jc w:val="both"/>
        <w:rPr>
          <w:rFonts w:ascii="Times New Roman" w:hAnsi="Times New Roman" w:cs="Times New Roman"/>
          <w:szCs w:val="22"/>
        </w:rPr>
      </w:pPr>
      <w:r w:rsidRPr="00155A64">
        <w:rPr>
          <w:rFonts w:ascii="Times New Roman" w:hAnsi="Times New Roman" w:cs="Times New Roman"/>
          <w:szCs w:val="22"/>
        </w:rPr>
        <w:fldChar w:fldCharType="begin" w:fldLock="1"/>
      </w:r>
      <w:r w:rsidRPr="00155A64">
        <w:rPr>
          <w:rFonts w:ascii="Times New Roman" w:hAnsi="Times New Roman" w:cs="Times New Roman"/>
          <w:szCs w:val="22"/>
        </w:rPr>
        <w:instrText>ADDIN CSL_CITATION {"citationItems":[{"id":"ITEM-1","itemData":{"DOI":"10.31142/ijtsrd2469","abstract":"To study the planning of individual income tax and tax saving instruments of individual income tax. By doing so they can plan in advance about their Tax savings instrument. Tax planning is an essential part of our financial planning. Efficient tax planning enables us to reduce our tax liability to the minimum. This is done by legitimately taking advantage of all tax exemptions, deductions under chapter VIA, rebates and allowances while ensuring that your investments are in line with their long-term goals. The purpose of the study is to find out the most suitable and popular tax saving instrument used to save tax and also to examine the amount saved by using that instrument. Over all findings reveals that the most adopted tax saving instrument is Provident Fund, which got the first rank in this study and the second most adopted tax saving instrument is Life Insurance policy. K.Saravanan | Dr.K.MuthuLakshmi \"Tax Saving Instruments of Income Tax in India: A Study on Tax Assessee in Trichy City \" Published in International Journal of Trend in Scientific Research and Development (ijtsrd), ISSN: 2456-6470, Volume-1 | Issue-5 , August 2017, URL: http://www.ijtsrd.com/papers/ijtsrd2469.pdf  http://www.ijtsrd.com/management/accounting-and-finance/2469/tax-saving-instruments-of-income-tax-in-india--a-study-on-tax-assessee-in-trichy-city-/ksaravanan\r\n","author":[{"dropping-particle":"","family":"","given":"","non-dropping-particle":"","parse-names":false,"suffix":""},{"dropping-particle":"","family":"Saravanan","given":"K.","non-dropping-particle":"","parse-names":false,"suffix":""},{"dropping-particle":"","family":"MuthuLakshmi","given":"Dr.K.","non-dropping-particle":"","parse-names":false,"suffix":""}],"container-title":"International Journal of Trend in Scientific Research and Development","id":"ITEM-1","issue":"Issue-5","issued":{"date-parts":[["2017"]]},"page":"1259-1266","title":"Tax Saving Instruments of Income Tax in India: A Study on Tax Assessee in Trichy City","type":"article-journal","volume":"Volume-1"},"uris":["http://www.mendeley.com/documents/?uuid=f4dbca9c-241c-4cfc-82c8-eca8c4f1e850"]}],"mendeley":{"formattedCitation":"(Saravanan and MuthuLakshmi 2017)","plainTextFormattedCitation":"(Saravanan and MuthuLakshmi 2017)","previouslyFormattedCitation":"(Saravanan and MuthuLakshmi 2017)"},"properties":{"noteIndex":0},"schema":"https://github.com/citation-style-language/schema/raw/master/csl-citation.json"}</w:instrText>
      </w:r>
      <w:r w:rsidRPr="00155A64">
        <w:rPr>
          <w:rFonts w:ascii="Times New Roman" w:hAnsi="Times New Roman" w:cs="Times New Roman"/>
          <w:szCs w:val="22"/>
        </w:rPr>
        <w:fldChar w:fldCharType="separate"/>
      </w:r>
      <w:r w:rsidRPr="00155A64">
        <w:rPr>
          <w:rFonts w:ascii="Times New Roman" w:hAnsi="Times New Roman" w:cs="Times New Roman"/>
          <w:noProof/>
          <w:szCs w:val="22"/>
        </w:rPr>
        <w:t>(Saravanan and MuthuLakshmi 20</w:t>
      </w:r>
      <w:r w:rsidR="00262549">
        <w:rPr>
          <w:rFonts w:ascii="Times New Roman" w:hAnsi="Times New Roman" w:cs="Times New Roman"/>
          <w:noProof/>
          <w:szCs w:val="22"/>
        </w:rPr>
        <w:t>14</w:t>
      </w:r>
      <w:r w:rsidRPr="00155A64">
        <w:rPr>
          <w:rFonts w:ascii="Times New Roman" w:hAnsi="Times New Roman" w:cs="Times New Roman"/>
          <w:noProof/>
          <w:szCs w:val="22"/>
        </w:rPr>
        <w:t>)</w:t>
      </w:r>
      <w:r w:rsidRPr="00155A64">
        <w:rPr>
          <w:rFonts w:ascii="Times New Roman" w:hAnsi="Times New Roman" w:cs="Times New Roman"/>
          <w:szCs w:val="22"/>
        </w:rPr>
        <w:fldChar w:fldCharType="end"/>
      </w:r>
      <w:r w:rsidRPr="00155A64">
        <w:rPr>
          <w:rFonts w:ascii="Times New Roman" w:hAnsi="Times New Roman" w:cs="Times New Roman"/>
          <w:szCs w:val="22"/>
        </w:rPr>
        <w:t xml:space="preserve"> studied Tax Saving Instruments of Income Tax in India: A Study on Tax Assessee in Trichy City </w:t>
      </w:r>
      <w:r w:rsidR="008179DB" w:rsidRPr="00155A64">
        <w:rPr>
          <w:rFonts w:ascii="Times New Roman" w:hAnsi="Times New Roman" w:cs="Times New Roman"/>
          <w:szCs w:val="22"/>
        </w:rPr>
        <w:t>the results of which were Planning strategies and tools for minimising one's personal income tax are the subject of this research. This allows them to prepare in advance for their tax savings tool. Our financial strategy does not exclude tax planning. With careful tax preparation, we are able to pay as little in taxes as possible. To do this, you must make investments that are consistent with their long-term aims while lawfully taking advantage of all available tax breaks (such as those provided by Chapter VIA deductions, refunds, and allowances). The study's goals are to identify the most common and effective tax-cutting strategies and to quantify the resulting savings. Overall, the results show that Provident Funds are the most widely used tax savings mechanism, with Life Insurance Policies coming in at a close second. First, it would be helpful to define tax. Taxes are governmental levies levied on goods, income, or actions. Direct taxes and indirect taxes are the two main categories (See Chart below this paragraph). Direct taxes, like income taxes, are collected on an individual's resources without going via any intermediary. Indirect taxes, such as excise duties, are those that are added to the final cost of a product rather than its production or distribution.</w:t>
      </w:r>
    </w:p>
    <w:p w14:paraId="38858CD8" w14:textId="16383C5C" w:rsidR="001E24CE" w:rsidRPr="00155A64" w:rsidRDefault="001E24CE" w:rsidP="00155A64">
      <w:pPr>
        <w:spacing w:after="0"/>
        <w:jc w:val="both"/>
        <w:rPr>
          <w:rFonts w:ascii="Times New Roman" w:hAnsi="Times New Roman" w:cs="Times New Roman"/>
          <w:szCs w:val="22"/>
        </w:rPr>
      </w:pPr>
      <w:r w:rsidRPr="00155A64">
        <w:rPr>
          <w:rFonts w:ascii="Times New Roman" w:hAnsi="Times New Roman" w:cs="Times New Roman"/>
          <w:szCs w:val="22"/>
        </w:rPr>
        <w:fldChar w:fldCharType="begin" w:fldLock="1"/>
      </w:r>
      <w:r w:rsidRPr="00155A64">
        <w:rPr>
          <w:rFonts w:ascii="Times New Roman" w:hAnsi="Times New Roman" w:cs="Times New Roman"/>
          <w:szCs w:val="22"/>
        </w:rPr>
        <w:instrText>ADDIN CSL_CITATION {"citationItems":[{"id":"ITEM-1","itemData":{"author":[{"dropping-particle":"","family":"Qadri","given":"Ayesha","non-dropping-particle":"","parse-names":false,"suffix":""}],"id":"ITEM-1","issued":{"date-parts":[["2020"]]},"page":"412-415","title":"Tax planning and tax saving instruments","type":"article-journal"},"uris":["http://www.mendeley.com/documents/?uuid=b8e98dcd-3281-47e6-97ed-7f4e013e3851"]}],"mendeley":{"formattedCitation":"(Qadri 2020)","plainTextFormattedCitation":"(Qadri 2020)","previouslyFormattedCitation":"(Qadri 2020)"},"properties":{"noteIndex":0},"schema":"https://github.com/citation-style-language/schema/raw/master/csl-citation.json"}</w:instrText>
      </w:r>
      <w:r w:rsidRPr="00155A64">
        <w:rPr>
          <w:rFonts w:ascii="Times New Roman" w:hAnsi="Times New Roman" w:cs="Times New Roman"/>
          <w:szCs w:val="22"/>
        </w:rPr>
        <w:fldChar w:fldCharType="separate"/>
      </w:r>
      <w:r w:rsidRPr="00155A64">
        <w:rPr>
          <w:rFonts w:ascii="Times New Roman" w:hAnsi="Times New Roman" w:cs="Times New Roman"/>
          <w:noProof/>
          <w:szCs w:val="22"/>
        </w:rPr>
        <w:t>(Qadri 20</w:t>
      </w:r>
      <w:r w:rsidR="00A11560" w:rsidRPr="00155A64">
        <w:rPr>
          <w:rFonts w:ascii="Times New Roman" w:hAnsi="Times New Roman" w:cs="Times New Roman"/>
          <w:noProof/>
          <w:szCs w:val="22"/>
        </w:rPr>
        <w:t>10</w:t>
      </w:r>
      <w:r w:rsidRPr="00155A64">
        <w:rPr>
          <w:rFonts w:ascii="Times New Roman" w:hAnsi="Times New Roman" w:cs="Times New Roman"/>
          <w:noProof/>
          <w:szCs w:val="22"/>
        </w:rPr>
        <w:t>)</w:t>
      </w:r>
      <w:r w:rsidRPr="00155A64">
        <w:rPr>
          <w:rFonts w:ascii="Times New Roman" w:hAnsi="Times New Roman" w:cs="Times New Roman"/>
          <w:szCs w:val="22"/>
        </w:rPr>
        <w:fldChar w:fldCharType="end"/>
      </w:r>
      <w:r w:rsidRPr="00155A64">
        <w:rPr>
          <w:rFonts w:ascii="Times New Roman" w:hAnsi="Times New Roman" w:cs="Times New Roman"/>
          <w:szCs w:val="22"/>
        </w:rPr>
        <w:t xml:space="preserve"> studied tax planning and tax saving instruments </w:t>
      </w:r>
      <w:r w:rsidR="008179DB" w:rsidRPr="00155A64">
        <w:rPr>
          <w:rFonts w:ascii="Times New Roman" w:hAnsi="Times New Roman" w:cs="Times New Roman"/>
          <w:szCs w:val="22"/>
        </w:rPr>
        <w:t>the results of which were Income tax refers to a form of tax that governments apply on the profits made by firms and individuals operating inside their borders. It's how the government meets its financial obligations, funds essential services, and distributes things to the populace. A personal income tax, sometimes known as an individual income tax, is a tax levied on a person's earnings from employment, investments, and other sources of money. To pay the least amount of tax possible, it is important to do a thorough examination of your financial condition or goals, which is what tax planning is all about. The term tax efficiency refers to the extent to which a certain strategy reduces one's taxable income.</w:t>
      </w:r>
    </w:p>
    <w:p w14:paraId="266BD91C" w14:textId="0FB0DD1B" w:rsidR="001E24CE" w:rsidRPr="00155A64" w:rsidRDefault="001E24CE" w:rsidP="00155A64">
      <w:pPr>
        <w:spacing w:after="0"/>
        <w:jc w:val="both"/>
        <w:rPr>
          <w:rFonts w:ascii="Times New Roman" w:hAnsi="Times New Roman" w:cs="Times New Roman"/>
          <w:szCs w:val="22"/>
        </w:rPr>
      </w:pPr>
      <w:r w:rsidRPr="00155A64">
        <w:rPr>
          <w:rFonts w:ascii="Times New Roman" w:hAnsi="Times New Roman" w:cs="Times New Roman"/>
          <w:szCs w:val="22"/>
        </w:rPr>
        <w:fldChar w:fldCharType="begin" w:fldLock="1"/>
      </w:r>
      <w:r w:rsidRPr="00155A64">
        <w:rPr>
          <w:rFonts w:ascii="Times New Roman" w:hAnsi="Times New Roman" w:cs="Times New Roman"/>
          <w:szCs w:val="22"/>
        </w:rPr>
        <w:instrText>ADDIN CSL_CITATION {"citationItems":[{"id":"ITEM-1","itemData":{"abstract":"… RTO employees, 34 sole proprietors, 13 chartered accountants and 16 agents which includes … sole proprietor with 34, RTO officials 22, Agents with 16 and chartered accountant with 13 …","author":[{"dropping-particle":"","family":"Kumar","given":"H","non-dropping-particle":"","parse-names":false,"suffix":""},{"dropping-particle":"","family":"Saxena","given":"M D","non-dropping-particle":"","parse-names":false,"suffix":""},{"dropping-particle":"","family":"Kumari","given":"M S","non-dropping-particle":"","parse-names":false,"suffix":""},{"dropping-particle":"","family":"...","given":"","non-dropping-particle":"","parse-names":false,"suffix":""}],"container-title":"Journal of Positive …","id":"ITEM-1","issue":"8","issued":{"date-parts":[["2022"]]},"page":"4193-4200","title":"Tax Planning Through Tax Saving Instrument: A Study On Tax Assessee In Jaipur City","type":"article-journal","volume":"6"},"uris":["http://www.mendeley.com/documents/?uuid=edc52009-ff00-4e72-81ac-52efd12a5963"]}],"mendeley":{"formattedCitation":"(Kumar et al. 2022)","plainTextFormattedCitation":"(Kumar et al. 2022)","previouslyFormattedCitation":"(Kumar et al. 2022)"},"properties":{"noteIndex":0},"schema":"https://github.com/citation-style-language/schema/raw/master/csl-citation.json"}</w:instrText>
      </w:r>
      <w:r w:rsidRPr="00155A64">
        <w:rPr>
          <w:rFonts w:ascii="Times New Roman" w:hAnsi="Times New Roman" w:cs="Times New Roman"/>
          <w:szCs w:val="22"/>
        </w:rPr>
        <w:fldChar w:fldCharType="separate"/>
      </w:r>
      <w:r w:rsidRPr="00155A64">
        <w:rPr>
          <w:rFonts w:ascii="Times New Roman" w:hAnsi="Times New Roman" w:cs="Times New Roman"/>
          <w:noProof/>
          <w:szCs w:val="22"/>
        </w:rPr>
        <w:t xml:space="preserve">(Kumar et al. </w:t>
      </w:r>
      <w:r w:rsidR="00A11560" w:rsidRPr="00155A64">
        <w:rPr>
          <w:rFonts w:ascii="Times New Roman" w:hAnsi="Times New Roman" w:cs="Times New Roman"/>
          <w:noProof/>
          <w:szCs w:val="22"/>
        </w:rPr>
        <w:t>2015</w:t>
      </w:r>
      <w:r w:rsidRPr="00155A64">
        <w:rPr>
          <w:rFonts w:ascii="Times New Roman" w:hAnsi="Times New Roman" w:cs="Times New Roman"/>
          <w:noProof/>
          <w:szCs w:val="22"/>
        </w:rPr>
        <w:t>)</w:t>
      </w:r>
      <w:r w:rsidRPr="00155A64">
        <w:rPr>
          <w:rFonts w:ascii="Times New Roman" w:hAnsi="Times New Roman" w:cs="Times New Roman"/>
          <w:szCs w:val="22"/>
        </w:rPr>
        <w:fldChar w:fldCharType="end"/>
      </w:r>
      <w:r w:rsidRPr="00155A64">
        <w:rPr>
          <w:rFonts w:ascii="Times New Roman" w:hAnsi="Times New Roman" w:cs="Times New Roman"/>
          <w:szCs w:val="22"/>
        </w:rPr>
        <w:t xml:space="preserve"> studied Tax Planning Through Tax Saving Instrument: A Study On Tax Assessee In Jaipur City” </w:t>
      </w:r>
      <w:r w:rsidR="008179DB" w:rsidRPr="00155A64">
        <w:rPr>
          <w:rFonts w:ascii="Times New Roman" w:hAnsi="Times New Roman" w:cs="Times New Roman"/>
          <w:szCs w:val="22"/>
        </w:rPr>
        <w:t xml:space="preserve">the results of which were The research shows that the tax saving device can help an individual assessee prepare ahead for their tax due. The tax implications of our decisions have a major </w:t>
      </w:r>
      <w:r w:rsidR="008179DB" w:rsidRPr="00155A64">
        <w:rPr>
          <w:rFonts w:ascii="Times New Roman" w:hAnsi="Times New Roman" w:cs="Times New Roman"/>
          <w:szCs w:val="22"/>
        </w:rPr>
        <w:lastRenderedPageBreak/>
        <w:t>impact on our long-term budgeting. Assessee can lower their tax burden through careful tax preparation. Chapter vi A's tax breaks (exemption, refund, and deduction) let us achieve this while still keeping our eye on the big picture. The primary goal of this research is to identify the most effective tax-saving tool and quantify the tax benefits of that instrument. Based on the findings, home equity loans are the most popular tax savings tool, followed by individual retirement accounts and NSCs.</w:t>
      </w:r>
    </w:p>
    <w:p w14:paraId="134CC4D8" w14:textId="77777777" w:rsidR="00561FA5" w:rsidRPr="00155A64" w:rsidRDefault="00561FA5"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Conclusion</w:t>
      </w:r>
    </w:p>
    <w:p w14:paraId="032858AE" w14:textId="010963FE" w:rsidR="00561FA5" w:rsidRPr="00155A64" w:rsidRDefault="008179DB" w:rsidP="00155A64">
      <w:pPr>
        <w:spacing w:after="0"/>
        <w:jc w:val="both"/>
        <w:rPr>
          <w:rFonts w:ascii="Times New Roman" w:hAnsi="Times New Roman" w:cs="Times New Roman"/>
          <w:szCs w:val="22"/>
        </w:rPr>
      </w:pPr>
      <w:r w:rsidRPr="00155A64">
        <w:rPr>
          <w:rFonts w:ascii="Times New Roman" w:hAnsi="Times New Roman" w:cs="Times New Roman"/>
          <w:szCs w:val="22"/>
        </w:rPr>
        <w:t>The term tax planning refers to the steps a taxpayer takes to ensure he or she complies with all applicable rules and regulations in a timely and organised fashion, making full use of any deductions or credits allowed by law and keeping track of any relevant notifications. Avoiding disputes and fines is the primary goal of any good tax plan, not minimising tax obligations. Effective tax administration involves timely filing of all required statutory returns, full compliance with all applicable legal requirements, and the avoidance of fines, interest, and frivolous legal disputes. When it comes to taxes, tax management can be considered a subset of tax planning even if it doesn't result in a lower tax bill because it helps avoid fees and interest. Without tax management, tax planning would be insufficient.</w:t>
      </w:r>
    </w:p>
    <w:p w14:paraId="3DDEC641" w14:textId="77777777" w:rsidR="00561FA5" w:rsidRPr="00155A64" w:rsidRDefault="00561FA5" w:rsidP="00155A64">
      <w:pPr>
        <w:spacing w:after="0"/>
        <w:jc w:val="both"/>
        <w:rPr>
          <w:rFonts w:ascii="Times New Roman" w:hAnsi="Times New Roman" w:cs="Times New Roman"/>
          <w:b/>
          <w:bCs/>
          <w:szCs w:val="22"/>
        </w:rPr>
      </w:pPr>
      <w:r w:rsidRPr="00155A64">
        <w:rPr>
          <w:rFonts w:ascii="Times New Roman" w:hAnsi="Times New Roman" w:cs="Times New Roman"/>
          <w:b/>
          <w:bCs/>
          <w:szCs w:val="22"/>
        </w:rPr>
        <w:t>References</w:t>
      </w:r>
    </w:p>
    <w:p w14:paraId="3A14BD24" w14:textId="4565DDB4" w:rsidR="001E24CE" w:rsidRPr="009D500B" w:rsidRDefault="001E24CE" w:rsidP="009D500B">
      <w:pPr>
        <w:pStyle w:val="ListParagraph"/>
        <w:widowControl w:val="0"/>
        <w:numPr>
          <w:ilvl w:val="0"/>
          <w:numId w:val="7"/>
        </w:numPr>
        <w:autoSpaceDE w:val="0"/>
        <w:autoSpaceDN w:val="0"/>
        <w:adjustRightInd w:val="0"/>
        <w:spacing w:after="0"/>
        <w:rPr>
          <w:rFonts w:ascii="Times New Roman" w:hAnsi="Times New Roman" w:cs="Times New Roman"/>
          <w:noProof/>
          <w:szCs w:val="22"/>
        </w:rPr>
      </w:pPr>
      <w:r w:rsidRPr="00155A64">
        <w:rPr>
          <w:rFonts w:ascii="Times New Roman" w:hAnsi="Times New Roman" w:cs="Times New Roman"/>
          <w:szCs w:val="22"/>
        </w:rPr>
        <w:fldChar w:fldCharType="begin" w:fldLock="1"/>
      </w:r>
      <w:r w:rsidRPr="00155A64">
        <w:rPr>
          <w:rFonts w:ascii="Times New Roman" w:hAnsi="Times New Roman" w:cs="Times New Roman"/>
          <w:szCs w:val="22"/>
        </w:rPr>
        <w:instrText xml:space="preserve">ADDIN Mendeley Bibliography CSL_BIBLIOGRAPHY </w:instrText>
      </w:r>
      <w:r w:rsidRPr="00155A64">
        <w:rPr>
          <w:rFonts w:ascii="Times New Roman" w:hAnsi="Times New Roman" w:cs="Times New Roman"/>
          <w:szCs w:val="22"/>
        </w:rPr>
        <w:fldChar w:fldCharType="separate"/>
      </w:r>
      <w:r w:rsidRPr="00155A64">
        <w:rPr>
          <w:rFonts w:ascii="Times New Roman" w:hAnsi="Times New Roman" w:cs="Times New Roman"/>
          <w:noProof/>
          <w:szCs w:val="22"/>
        </w:rPr>
        <w:t>Kumar, H., M. D. Saxena, M. S. Kumari, and ... 20</w:t>
      </w:r>
      <w:r w:rsidR="00A11560" w:rsidRPr="00155A64">
        <w:rPr>
          <w:rFonts w:ascii="Times New Roman" w:hAnsi="Times New Roman" w:cs="Times New Roman"/>
          <w:noProof/>
          <w:szCs w:val="22"/>
        </w:rPr>
        <w:t>10</w:t>
      </w:r>
      <w:r w:rsidRPr="00155A64">
        <w:rPr>
          <w:rFonts w:ascii="Times New Roman" w:hAnsi="Times New Roman" w:cs="Times New Roman"/>
          <w:noProof/>
          <w:szCs w:val="22"/>
        </w:rPr>
        <w:t xml:space="preserve">. Tax Planning Through Tax Saving Instrument: A Study On Tax Assessee In Jaipur City. </w:t>
      </w:r>
      <w:r w:rsidRPr="00155A64">
        <w:rPr>
          <w:rFonts w:ascii="Times New Roman" w:hAnsi="Times New Roman" w:cs="Times New Roman"/>
          <w:i/>
          <w:iCs/>
          <w:noProof/>
          <w:szCs w:val="22"/>
        </w:rPr>
        <w:t>Journal of Positive …</w:t>
      </w:r>
      <w:r w:rsidRPr="00155A64">
        <w:rPr>
          <w:rFonts w:ascii="Times New Roman" w:hAnsi="Times New Roman" w:cs="Times New Roman"/>
          <w:noProof/>
          <w:szCs w:val="22"/>
        </w:rPr>
        <w:t xml:space="preserve"> 6(8):4193–4200.</w:t>
      </w:r>
    </w:p>
    <w:p w14:paraId="48A8F27B" w14:textId="5068F185" w:rsidR="001E24CE" w:rsidRPr="00155A64" w:rsidRDefault="001E24CE" w:rsidP="00155A64">
      <w:pPr>
        <w:pStyle w:val="ListParagraph"/>
        <w:widowControl w:val="0"/>
        <w:numPr>
          <w:ilvl w:val="0"/>
          <w:numId w:val="7"/>
        </w:numPr>
        <w:autoSpaceDE w:val="0"/>
        <w:autoSpaceDN w:val="0"/>
        <w:adjustRightInd w:val="0"/>
        <w:spacing w:after="0"/>
        <w:rPr>
          <w:rFonts w:ascii="Times New Roman" w:hAnsi="Times New Roman" w:cs="Times New Roman"/>
          <w:noProof/>
          <w:szCs w:val="22"/>
        </w:rPr>
      </w:pPr>
      <w:r w:rsidRPr="00155A64">
        <w:rPr>
          <w:rFonts w:ascii="Times New Roman" w:hAnsi="Times New Roman" w:cs="Times New Roman"/>
          <w:noProof/>
          <w:szCs w:val="22"/>
        </w:rPr>
        <w:t>K. Saravanan, and Dr. K. MuthuLakshmi. 20</w:t>
      </w:r>
      <w:r w:rsidR="00262549">
        <w:rPr>
          <w:rFonts w:ascii="Times New Roman" w:hAnsi="Times New Roman" w:cs="Times New Roman"/>
          <w:noProof/>
          <w:szCs w:val="22"/>
        </w:rPr>
        <w:t>14</w:t>
      </w:r>
      <w:r w:rsidRPr="00155A64">
        <w:rPr>
          <w:rFonts w:ascii="Times New Roman" w:hAnsi="Times New Roman" w:cs="Times New Roman"/>
          <w:noProof/>
          <w:szCs w:val="22"/>
        </w:rPr>
        <w:t xml:space="preserve">. Tax Saving Instruments of Income Tax in India: A Study on Tax Assessee in Trichy City. </w:t>
      </w:r>
      <w:r w:rsidRPr="00155A64">
        <w:rPr>
          <w:rFonts w:ascii="Times New Roman" w:hAnsi="Times New Roman" w:cs="Times New Roman"/>
          <w:i/>
          <w:iCs/>
          <w:noProof/>
          <w:szCs w:val="22"/>
        </w:rPr>
        <w:t>International Journal of Trend in Scientific Research and Development</w:t>
      </w:r>
      <w:r w:rsidRPr="00155A64">
        <w:rPr>
          <w:rFonts w:ascii="Times New Roman" w:hAnsi="Times New Roman" w:cs="Times New Roman"/>
          <w:noProof/>
          <w:szCs w:val="22"/>
        </w:rPr>
        <w:t xml:space="preserve"> Volume-1(Issue-5):1259–66. doi: 10.31142/ijtsrd2469.</w:t>
      </w:r>
    </w:p>
    <w:p w14:paraId="146B41D0" w14:textId="033EC29D" w:rsidR="001E24CE" w:rsidRPr="00155A64" w:rsidRDefault="001E24CE" w:rsidP="00155A64">
      <w:pPr>
        <w:pStyle w:val="ListParagraph"/>
        <w:widowControl w:val="0"/>
        <w:numPr>
          <w:ilvl w:val="0"/>
          <w:numId w:val="7"/>
        </w:numPr>
        <w:autoSpaceDE w:val="0"/>
        <w:autoSpaceDN w:val="0"/>
        <w:adjustRightInd w:val="0"/>
        <w:spacing w:after="0"/>
        <w:rPr>
          <w:rFonts w:ascii="Times New Roman" w:hAnsi="Times New Roman" w:cs="Times New Roman"/>
          <w:noProof/>
          <w:szCs w:val="22"/>
        </w:rPr>
      </w:pPr>
      <w:r w:rsidRPr="00155A64">
        <w:rPr>
          <w:rFonts w:ascii="Times New Roman" w:hAnsi="Times New Roman" w:cs="Times New Roman"/>
          <w:noProof/>
          <w:szCs w:val="22"/>
        </w:rPr>
        <w:t xml:space="preserve">Savita, and Lokesh Gautam. 2013. Income Tax Planning : A Study of Tax Saving Instruments. </w:t>
      </w:r>
      <w:r w:rsidRPr="00155A64">
        <w:rPr>
          <w:rFonts w:ascii="Times New Roman" w:hAnsi="Times New Roman" w:cs="Times New Roman"/>
          <w:i/>
          <w:iCs/>
          <w:noProof/>
          <w:szCs w:val="22"/>
        </w:rPr>
        <w:t>Internaltional Journal of Management and Social Sciences Research</w:t>
      </w:r>
      <w:r w:rsidRPr="00155A64">
        <w:rPr>
          <w:rFonts w:ascii="Times New Roman" w:hAnsi="Times New Roman" w:cs="Times New Roman"/>
          <w:noProof/>
          <w:szCs w:val="22"/>
        </w:rPr>
        <w:t xml:space="preserve"> 2(5):83–91.</w:t>
      </w:r>
    </w:p>
    <w:p w14:paraId="6748FDC8" w14:textId="08FFD1A9" w:rsidR="00311A72" w:rsidRPr="00155A64" w:rsidRDefault="001E24CE" w:rsidP="00155A64">
      <w:pPr>
        <w:spacing w:after="0"/>
        <w:jc w:val="both"/>
        <w:rPr>
          <w:rFonts w:ascii="Times New Roman" w:hAnsi="Times New Roman" w:cs="Times New Roman"/>
          <w:szCs w:val="22"/>
        </w:rPr>
      </w:pPr>
      <w:r w:rsidRPr="00155A64">
        <w:rPr>
          <w:rFonts w:ascii="Times New Roman" w:hAnsi="Times New Roman" w:cs="Times New Roman"/>
          <w:szCs w:val="22"/>
        </w:rPr>
        <w:fldChar w:fldCharType="end"/>
      </w:r>
    </w:p>
    <w:sectPr w:rsidR="00311A72" w:rsidRPr="00155A64" w:rsidSect="00C02BED">
      <w:headerReference w:type="default" r:id="rId8"/>
      <w:footerReference w:type="default" r:id="rId9"/>
      <w:pgSz w:w="11906" w:h="16838"/>
      <w:pgMar w:top="1440" w:right="1440" w:bottom="1440" w:left="1440" w:header="708" w:footer="708"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52A0" w14:textId="77777777" w:rsidR="00997DE2" w:rsidRDefault="00997DE2" w:rsidP="00C02BED">
      <w:pPr>
        <w:spacing w:after="0" w:line="240" w:lineRule="auto"/>
      </w:pPr>
      <w:r>
        <w:separator/>
      </w:r>
    </w:p>
  </w:endnote>
  <w:endnote w:type="continuationSeparator" w:id="0">
    <w:p w14:paraId="77226A3E" w14:textId="77777777" w:rsidR="00997DE2" w:rsidRDefault="00997DE2" w:rsidP="00C0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229860"/>
      <w:docPartObj>
        <w:docPartGallery w:val="Page Numbers (Bottom of Page)"/>
        <w:docPartUnique/>
      </w:docPartObj>
    </w:sdtPr>
    <w:sdtEndPr>
      <w:rPr>
        <w:noProof/>
      </w:rPr>
    </w:sdtEndPr>
    <w:sdtContent>
      <w:p w14:paraId="12EBA937" w14:textId="7E9F71E4" w:rsidR="00C02BED" w:rsidRDefault="00C02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D48E89" w14:textId="77777777" w:rsidR="00C02BED" w:rsidRDefault="00C0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16A2" w14:textId="77777777" w:rsidR="00997DE2" w:rsidRDefault="00997DE2" w:rsidP="00C02BED">
      <w:pPr>
        <w:spacing w:after="0" w:line="240" w:lineRule="auto"/>
      </w:pPr>
      <w:r>
        <w:separator/>
      </w:r>
    </w:p>
  </w:footnote>
  <w:footnote w:type="continuationSeparator" w:id="0">
    <w:p w14:paraId="5280CBF0" w14:textId="77777777" w:rsidR="00997DE2" w:rsidRDefault="00997DE2" w:rsidP="00C02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4981" w14:textId="77777777" w:rsidR="00C02BED" w:rsidRPr="000E22B7" w:rsidRDefault="00C02BED" w:rsidP="00C02BED">
    <w:pPr>
      <w:autoSpaceDE w:val="0"/>
      <w:autoSpaceDN w:val="0"/>
      <w:adjustRightInd w:val="0"/>
      <w:spacing w:after="0"/>
      <w:rPr>
        <w:rFonts w:ascii="Arial" w:eastAsia="MS Mincho" w:hAnsi="Arial" w:cs="Arial"/>
        <w:b/>
        <w:color w:val="943634"/>
        <w:sz w:val="16"/>
        <w:szCs w:val="24"/>
        <w:shd w:val="clear" w:color="auto" w:fill="FFFFFF"/>
        <w:lang w:val="en-US" w:eastAsia="ja-JP"/>
      </w:rPr>
    </w:pPr>
    <w:r w:rsidRPr="000E22B7">
      <w:rPr>
        <w:rFonts w:ascii="Times New Roman" w:eastAsia="Calibri" w:hAnsi="Times New Roman" w:cs="Times New Roman"/>
        <w:noProof/>
        <w:color w:val="000000"/>
        <w:sz w:val="24"/>
        <w:szCs w:val="24"/>
        <w:lang w:val="en-US"/>
      </w:rPr>
      <w:drawing>
        <wp:anchor distT="0" distB="0" distL="114300" distR="114300" simplePos="0" relativeHeight="251659264" behindDoc="0" locked="0" layoutInCell="1" allowOverlap="1" wp14:anchorId="6EA2B11E" wp14:editId="7271B984">
          <wp:simplePos x="0" y="0"/>
          <wp:positionH relativeFrom="margin">
            <wp:posOffset>5375910</wp:posOffset>
          </wp:positionH>
          <wp:positionV relativeFrom="margin">
            <wp:posOffset>-643890</wp:posOffset>
          </wp:positionV>
          <wp:extent cx="593090" cy="436245"/>
          <wp:effectExtent l="19050" t="0" r="0" b="0"/>
          <wp:wrapSquare wrapText="bothSides"/>
          <wp:docPr id="1" name="Picture 6" descr="C:\Users\WELCOME\Desktop\images\jr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LCOME\Desktop\images\jrps logo.jpg"/>
                  <pic:cNvPicPr>
                    <a:picLocks noChangeAspect="1" noChangeArrowheads="1"/>
                  </pic:cNvPicPr>
                </pic:nvPicPr>
                <pic:blipFill>
                  <a:blip r:embed="rId1"/>
                  <a:srcRect/>
                  <a:stretch>
                    <a:fillRect/>
                  </a:stretch>
                </pic:blipFill>
                <pic:spPr bwMode="auto">
                  <a:xfrm>
                    <a:off x="0" y="0"/>
                    <a:ext cx="593090" cy="436245"/>
                  </a:xfrm>
                  <a:prstGeom prst="rect">
                    <a:avLst/>
                  </a:prstGeom>
                  <a:noFill/>
                  <a:ln w="9525">
                    <a:noFill/>
                    <a:miter lim="800000"/>
                    <a:headEnd/>
                    <a:tailEnd/>
                  </a:ln>
                </pic:spPr>
              </pic:pic>
            </a:graphicData>
          </a:graphic>
        </wp:anchor>
      </w:drawing>
    </w:r>
    <w:r w:rsidRPr="000E22B7">
      <w:rPr>
        <w:rFonts w:ascii="Times New Roman" w:eastAsia="Calibri" w:hAnsi="Times New Roman" w:cs="Times New Roman"/>
        <w:color w:val="943634"/>
        <w:sz w:val="26"/>
        <w:szCs w:val="26"/>
        <w:lang w:val="en-US"/>
      </w:rPr>
      <w:t xml:space="preserve">© </w:t>
    </w:r>
    <w:r w:rsidRPr="000E22B7">
      <w:rPr>
        <w:rFonts w:ascii="Arial" w:eastAsia="MS Mincho" w:hAnsi="Arial" w:cs="Arial"/>
        <w:b/>
        <w:color w:val="943634"/>
        <w:sz w:val="16"/>
        <w:szCs w:val="24"/>
        <w:shd w:val="clear" w:color="auto" w:fill="FFFFFF"/>
        <w:lang w:val="en-US" w:eastAsia="ja-JP"/>
      </w:rPr>
      <w:t xml:space="preserve">INTERNATIONAL JOURNAL FOR RESEARCH PUBLICATION &amp; SEMINAR            </w:t>
    </w:r>
    <w:r w:rsidRPr="000E22B7">
      <w:rPr>
        <w:rFonts w:ascii="Arial" w:eastAsia="MS Mincho" w:hAnsi="Arial" w:cs="Arial"/>
        <w:b/>
        <w:color w:val="943634"/>
        <w:sz w:val="16"/>
        <w:szCs w:val="24"/>
        <w:shd w:val="clear" w:color="auto" w:fill="FFFFFF"/>
        <w:lang w:val="en-US" w:eastAsia="ja-JP"/>
      </w:rPr>
      <w:tab/>
      <w:t xml:space="preserve">            </w:t>
    </w:r>
    <w:r w:rsidRPr="000E22B7">
      <w:rPr>
        <w:rFonts w:ascii="Arial" w:eastAsia="MS Mincho" w:hAnsi="Arial" w:cs="Arial"/>
        <w:b/>
        <w:color w:val="943634"/>
        <w:sz w:val="16"/>
        <w:szCs w:val="24"/>
        <w:shd w:val="clear" w:color="auto" w:fill="FFFFFF"/>
        <w:lang w:val="en-US" w:eastAsia="ja-JP"/>
      </w:rPr>
      <w:tab/>
      <w:t xml:space="preserve">                                                    </w:t>
    </w:r>
  </w:p>
  <w:p w14:paraId="0E14D1D4" w14:textId="77777777" w:rsidR="00C02BED" w:rsidRPr="000E22B7" w:rsidRDefault="00C02BED" w:rsidP="00C02BED">
    <w:pPr>
      <w:autoSpaceDE w:val="0"/>
      <w:autoSpaceDN w:val="0"/>
      <w:adjustRightInd w:val="0"/>
      <w:spacing w:after="0"/>
      <w:rPr>
        <w:rFonts w:ascii="Arial" w:eastAsia="MS Mincho" w:hAnsi="Arial" w:cs="Arial"/>
        <w:b/>
        <w:color w:val="943634"/>
        <w:sz w:val="16"/>
        <w:szCs w:val="16"/>
        <w:shd w:val="clear" w:color="auto" w:fill="FFFFFF"/>
        <w:lang w:val="en-US" w:eastAsia="ja-JP"/>
      </w:rPr>
    </w:pPr>
    <w:r w:rsidRPr="000E22B7">
      <w:rPr>
        <w:rFonts w:ascii="Arial" w:eastAsia="MS Mincho" w:hAnsi="Arial" w:cs="Arial"/>
        <w:b/>
        <w:color w:val="943634"/>
        <w:sz w:val="16"/>
        <w:szCs w:val="16"/>
        <w:shd w:val="clear" w:color="auto" w:fill="FFFFFF"/>
        <w:lang w:val="en-US" w:eastAsia="ja-JP"/>
      </w:rPr>
      <w:t xml:space="preserve">      ISSN: 2278-6848   |   Volume:  06  Issue: 06  |   11   |  October-December 2015</w:t>
    </w:r>
  </w:p>
  <w:p w14:paraId="4FC25E26" w14:textId="77777777" w:rsidR="00C02BED" w:rsidRPr="000E22B7" w:rsidRDefault="00C02BED" w:rsidP="00C02BED">
    <w:pPr>
      <w:tabs>
        <w:tab w:val="center" w:pos="4680"/>
        <w:tab w:val="right" w:pos="9360"/>
      </w:tabs>
      <w:spacing w:after="0" w:line="240" w:lineRule="auto"/>
      <w:rPr>
        <w:rFonts w:ascii="Times New Roman" w:eastAsia="Calibri" w:hAnsi="Times New Roman" w:cs="Times New Roman"/>
        <w:color w:val="000000"/>
        <w:sz w:val="24"/>
        <w:szCs w:val="24"/>
        <w:lang w:val="en-US"/>
      </w:rPr>
    </w:pPr>
    <w:r w:rsidRPr="000E22B7">
      <w:rPr>
        <w:rFonts w:ascii="Times New Roman" w:eastAsia="Calibri" w:hAnsi="Times New Roman" w:cs="Times New Roman"/>
        <w:noProof/>
        <w:color w:val="000000"/>
        <w:sz w:val="24"/>
        <w:szCs w:val="24"/>
        <w:lang w:val="en-US"/>
      </w:rPr>
      <mc:AlternateContent>
        <mc:Choice Requires="wps">
          <w:drawing>
            <wp:anchor distT="0" distB="0" distL="114300" distR="114300" simplePos="0" relativeHeight="251660288" behindDoc="0" locked="0" layoutInCell="1" allowOverlap="1" wp14:anchorId="0FE6F345" wp14:editId="2A0F4A5A">
              <wp:simplePos x="0" y="0"/>
              <wp:positionH relativeFrom="column">
                <wp:posOffset>51435</wp:posOffset>
              </wp:positionH>
              <wp:positionV relativeFrom="paragraph">
                <wp:posOffset>78740</wp:posOffset>
              </wp:positionV>
              <wp:extent cx="3700780" cy="635"/>
              <wp:effectExtent l="0" t="0" r="3302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780" cy="635"/>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9D1C4" id="_x0000_t32" coordsize="21600,21600" o:spt="32" o:oned="t" path="m,l21600,21600e" filled="f">
              <v:path arrowok="t" fillok="f" o:connecttype="none"/>
              <o:lock v:ext="edit" shapetype="t"/>
            </v:shapetype>
            <v:shape id="Straight Arrow Connector 3" o:spid="_x0000_s1026" type="#_x0000_t32" style="position:absolute;margin-left:4.05pt;margin-top:6.2pt;width:291.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" strokecolor="#c00000" strokeweight="1.5pt"/>
          </w:pict>
        </mc:Fallback>
      </mc:AlternateContent>
    </w:r>
    <w:r w:rsidRPr="000E22B7">
      <w:rPr>
        <w:rFonts w:ascii="Arial" w:eastAsia="MS Mincho" w:hAnsi="Arial" w:cs="Arial"/>
        <w:b/>
        <w:color w:val="943634"/>
        <w:sz w:val="16"/>
        <w:szCs w:val="24"/>
        <w:shd w:val="clear" w:color="auto" w:fill="FFFFFF"/>
        <w:lang w:val="en-US" w:eastAsia="ja-JP"/>
      </w:rPr>
      <w:t xml:space="preserve">                                                                            </w:t>
    </w:r>
  </w:p>
  <w:p w14:paraId="3D37F3BA" w14:textId="77777777" w:rsidR="00C02BED" w:rsidRDefault="00C0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2EC9"/>
    <w:multiLevelType w:val="hybridMultilevel"/>
    <w:tmpl w:val="3A3A4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381174"/>
    <w:multiLevelType w:val="hybridMultilevel"/>
    <w:tmpl w:val="A31ABF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A5F0436"/>
    <w:multiLevelType w:val="hybridMultilevel"/>
    <w:tmpl w:val="82D82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407330AF"/>
    <w:multiLevelType w:val="hybridMultilevel"/>
    <w:tmpl w:val="C538AA14"/>
    <w:lvl w:ilvl="0" w:tplc="100ACF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8907E4D"/>
    <w:multiLevelType w:val="hybridMultilevel"/>
    <w:tmpl w:val="D38C55B0"/>
    <w:lvl w:ilvl="0" w:tplc="A16E8236">
      <w:start w:val="1"/>
      <w:numFmt w:val="upperLetter"/>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5" w15:restartNumberingAfterBreak="0">
    <w:nsid w:val="49C12D1F"/>
    <w:multiLevelType w:val="hybridMultilevel"/>
    <w:tmpl w:val="818A3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1E5697"/>
    <w:multiLevelType w:val="hybridMultilevel"/>
    <w:tmpl w:val="2AE05F6C"/>
    <w:lvl w:ilvl="0" w:tplc="40090001">
      <w:start w:val="1"/>
      <w:numFmt w:val="bullet"/>
      <w:lvlText w:val=""/>
      <w:lvlJc w:val="left"/>
      <w:pPr>
        <w:ind w:left="1110" w:hanging="360"/>
      </w:pPr>
      <w:rPr>
        <w:rFonts w:ascii="Symbol" w:hAnsi="Symbol" w:hint="default"/>
      </w:rPr>
    </w:lvl>
    <w:lvl w:ilvl="1" w:tplc="40090003" w:tentative="1">
      <w:start w:val="1"/>
      <w:numFmt w:val="bullet"/>
      <w:lvlText w:val="o"/>
      <w:lvlJc w:val="left"/>
      <w:pPr>
        <w:ind w:left="1830" w:hanging="360"/>
      </w:pPr>
      <w:rPr>
        <w:rFonts w:ascii="Courier New" w:hAnsi="Courier New" w:cs="Courier New" w:hint="default"/>
      </w:rPr>
    </w:lvl>
    <w:lvl w:ilvl="2" w:tplc="40090005" w:tentative="1">
      <w:start w:val="1"/>
      <w:numFmt w:val="bullet"/>
      <w:lvlText w:val=""/>
      <w:lvlJc w:val="left"/>
      <w:pPr>
        <w:ind w:left="2550" w:hanging="360"/>
      </w:pPr>
      <w:rPr>
        <w:rFonts w:ascii="Wingdings" w:hAnsi="Wingdings" w:hint="default"/>
      </w:rPr>
    </w:lvl>
    <w:lvl w:ilvl="3" w:tplc="40090001" w:tentative="1">
      <w:start w:val="1"/>
      <w:numFmt w:val="bullet"/>
      <w:lvlText w:val=""/>
      <w:lvlJc w:val="left"/>
      <w:pPr>
        <w:ind w:left="3270" w:hanging="360"/>
      </w:pPr>
      <w:rPr>
        <w:rFonts w:ascii="Symbol" w:hAnsi="Symbol" w:hint="default"/>
      </w:rPr>
    </w:lvl>
    <w:lvl w:ilvl="4" w:tplc="40090003" w:tentative="1">
      <w:start w:val="1"/>
      <w:numFmt w:val="bullet"/>
      <w:lvlText w:val="o"/>
      <w:lvlJc w:val="left"/>
      <w:pPr>
        <w:ind w:left="3990" w:hanging="360"/>
      </w:pPr>
      <w:rPr>
        <w:rFonts w:ascii="Courier New" w:hAnsi="Courier New" w:cs="Courier New" w:hint="default"/>
      </w:rPr>
    </w:lvl>
    <w:lvl w:ilvl="5" w:tplc="40090005" w:tentative="1">
      <w:start w:val="1"/>
      <w:numFmt w:val="bullet"/>
      <w:lvlText w:val=""/>
      <w:lvlJc w:val="left"/>
      <w:pPr>
        <w:ind w:left="4710" w:hanging="360"/>
      </w:pPr>
      <w:rPr>
        <w:rFonts w:ascii="Wingdings" w:hAnsi="Wingdings" w:hint="default"/>
      </w:rPr>
    </w:lvl>
    <w:lvl w:ilvl="6" w:tplc="40090001" w:tentative="1">
      <w:start w:val="1"/>
      <w:numFmt w:val="bullet"/>
      <w:lvlText w:val=""/>
      <w:lvlJc w:val="left"/>
      <w:pPr>
        <w:ind w:left="5430" w:hanging="360"/>
      </w:pPr>
      <w:rPr>
        <w:rFonts w:ascii="Symbol" w:hAnsi="Symbol" w:hint="default"/>
      </w:rPr>
    </w:lvl>
    <w:lvl w:ilvl="7" w:tplc="40090003" w:tentative="1">
      <w:start w:val="1"/>
      <w:numFmt w:val="bullet"/>
      <w:lvlText w:val="o"/>
      <w:lvlJc w:val="left"/>
      <w:pPr>
        <w:ind w:left="6150" w:hanging="360"/>
      </w:pPr>
      <w:rPr>
        <w:rFonts w:ascii="Courier New" w:hAnsi="Courier New" w:cs="Courier New" w:hint="default"/>
      </w:rPr>
    </w:lvl>
    <w:lvl w:ilvl="8" w:tplc="40090005" w:tentative="1">
      <w:start w:val="1"/>
      <w:numFmt w:val="bullet"/>
      <w:lvlText w:val=""/>
      <w:lvlJc w:val="left"/>
      <w:pPr>
        <w:ind w:left="687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AA"/>
    <w:rsid w:val="00035448"/>
    <w:rsid w:val="00103B3A"/>
    <w:rsid w:val="00155A64"/>
    <w:rsid w:val="001E24CE"/>
    <w:rsid w:val="00214469"/>
    <w:rsid w:val="002610AA"/>
    <w:rsid w:val="00262549"/>
    <w:rsid w:val="00311A72"/>
    <w:rsid w:val="00491CA2"/>
    <w:rsid w:val="0049796E"/>
    <w:rsid w:val="00561FA5"/>
    <w:rsid w:val="00807FDC"/>
    <w:rsid w:val="008179DB"/>
    <w:rsid w:val="00997DE2"/>
    <w:rsid w:val="009D500B"/>
    <w:rsid w:val="00A0405D"/>
    <w:rsid w:val="00A11560"/>
    <w:rsid w:val="00A1237C"/>
    <w:rsid w:val="00C02BED"/>
    <w:rsid w:val="00E76370"/>
    <w:rsid w:val="00F343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2627"/>
  <w15:docId w15:val="{3C388CB3-D077-44FA-B0E5-FEB3A8E4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6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2610AA"/>
  </w:style>
  <w:style w:type="character" w:customStyle="1" w:styleId="ff4">
    <w:name w:val="ff4"/>
    <w:basedOn w:val="DefaultParagraphFont"/>
    <w:rsid w:val="002610AA"/>
  </w:style>
  <w:style w:type="paragraph" w:styleId="ListParagraph">
    <w:name w:val="List Paragraph"/>
    <w:basedOn w:val="Normal"/>
    <w:uiPriority w:val="34"/>
    <w:qFormat/>
    <w:rsid w:val="002610AA"/>
    <w:pPr>
      <w:ind w:left="720"/>
      <w:contextualSpacing/>
    </w:pPr>
  </w:style>
  <w:style w:type="character" w:customStyle="1" w:styleId="ff3">
    <w:name w:val="ff3"/>
    <w:basedOn w:val="DefaultParagraphFont"/>
    <w:rsid w:val="002610AA"/>
  </w:style>
  <w:style w:type="character" w:customStyle="1" w:styleId="lse">
    <w:name w:val="lse"/>
    <w:basedOn w:val="DefaultParagraphFont"/>
    <w:rsid w:val="002610AA"/>
  </w:style>
  <w:style w:type="paragraph" w:styleId="Header">
    <w:name w:val="header"/>
    <w:basedOn w:val="Normal"/>
    <w:link w:val="HeaderChar"/>
    <w:uiPriority w:val="99"/>
    <w:unhideWhenUsed/>
    <w:rsid w:val="00C02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BED"/>
    <w:rPr>
      <w:rFonts w:cs="Mangal"/>
    </w:rPr>
  </w:style>
  <w:style w:type="paragraph" w:styleId="Footer">
    <w:name w:val="footer"/>
    <w:basedOn w:val="Normal"/>
    <w:link w:val="FooterChar"/>
    <w:uiPriority w:val="99"/>
    <w:unhideWhenUsed/>
    <w:rsid w:val="00C02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BE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7446">
      <w:bodyDiv w:val="1"/>
      <w:marLeft w:val="0"/>
      <w:marRight w:val="0"/>
      <w:marTop w:val="0"/>
      <w:marBottom w:val="0"/>
      <w:divBdr>
        <w:top w:val="none" w:sz="0" w:space="0" w:color="auto"/>
        <w:left w:val="none" w:sz="0" w:space="0" w:color="auto"/>
        <w:bottom w:val="none" w:sz="0" w:space="0" w:color="auto"/>
        <w:right w:val="none" w:sz="0" w:space="0" w:color="auto"/>
      </w:divBdr>
    </w:div>
    <w:div w:id="1395817405">
      <w:bodyDiv w:val="1"/>
      <w:marLeft w:val="0"/>
      <w:marRight w:val="0"/>
      <w:marTop w:val="0"/>
      <w:marBottom w:val="0"/>
      <w:divBdr>
        <w:top w:val="none" w:sz="0" w:space="0" w:color="auto"/>
        <w:left w:val="none" w:sz="0" w:space="0" w:color="auto"/>
        <w:bottom w:val="none" w:sz="0" w:space="0" w:color="auto"/>
        <w:right w:val="none" w:sz="0" w:space="0" w:color="auto"/>
      </w:divBdr>
    </w:div>
    <w:div w:id="1558972058">
      <w:bodyDiv w:val="1"/>
      <w:marLeft w:val="0"/>
      <w:marRight w:val="0"/>
      <w:marTop w:val="0"/>
      <w:marBottom w:val="0"/>
      <w:divBdr>
        <w:top w:val="none" w:sz="0" w:space="0" w:color="auto"/>
        <w:left w:val="none" w:sz="0" w:space="0" w:color="auto"/>
        <w:bottom w:val="none" w:sz="0" w:space="0" w:color="auto"/>
        <w:right w:val="none" w:sz="0" w:space="0" w:color="auto"/>
      </w:divBdr>
    </w:div>
    <w:div w:id="20833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BD39C6-2ABF-4E55-A7E0-8B5D7C1FD2CD}">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22F7-EABA-42BD-B6E1-012C36BB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3447</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Diwan Sher</cp:lastModifiedBy>
  <cp:revision>3</cp:revision>
  <dcterms:created xsi:type="dcterms:W3CDTF">2024-04-01T10:50:00Z</dcterms:created>
  <dcterms:modified xsi:type="dcterms:W3CDTF">2024-11-28T15:49:00Z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01a22a09-6144-3c76-b705-8da871ea42c4</vt:lpwstr>
  </property>
  <property fmtid="{D5CDD505-2E9C-101B-9397-08002B2CF9AE}" pid="24" name="Mendeley Citation Style_1">
    <vt:lpwstr>http://www.zotero.org/styles/american-sociological-association</vt:lpwstr>
  </property>
</Properties>
</file>